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012F" w:rsidRPr="0022060B" w:rsidRDefault="0038012F" w:rsidP="00816942">
      <w:pPr>
        <w:pStyle w:val="Cabealho"/>
        <w:spacing w:line="276" w:lineRule="auto"/>
        <w:jc w:val="center"/>
        <w:rPr>
          <w:rFonts w:ascii="Arial" w:hAnsi="Arial" w:cs="Arial"/>
          <w:sz w:val="20"/>
          <w:szCs w:val="20"/>
        </w:rPr>
      </w:pPr>
      <w:r w:rsidRPr="0022060B">
        <w:rPr>
          <w:rFonts w:ascii="Arial" w:hAnsi="Arial" w:cs="Arial"/>
          <w:b/>
          <w:sz w:val="20"/>
          <w:szCs w:val="20"/>
        </w:rPr>
        <w:t>Boletim de Jurisprudência TCE/PR</w:t>
      </w:r>
      <w:r w:rsidRPr="0022060B">
        <w:rPr>
          <w:rFonts w:ascii="Arial" w:hAnsi="Arial" w:cs="Arial"/>
          <w:sz w:val="20"/>
          <w:szCs w:val="20"/>
        </w:rPr>
        <w:t xml:space="preserve"> </w:t>
      </w:r>
    </w:p>
    <w:p w:rsidR="00814325" w:rsidRDefault="00814325" w:rsidP="00816942">
      <w:pPr>
        <w:spacing w:after="0"/>
        <w:jc w:val="center"/>
        <w:rPr>
          <w:rFonts w:ascii="Arial" w:hAnsi="Arial" w:cs="Arial"/>
          <w:b/>
          <w:sz w:val="20"/>
          <w:szCs w:val="20"/>
        </w:rPr>
      </w:pPr>
    </w:p>
    <w:p w:rsidR="001B5F7A" w:rsidRDefault="001B5F7A" w:rsidP="00816942">
      <w:pPr>
        <w:spacing w:after="0"/>
        <w:jc w:val="center"/>
        <w:rPr>
          <w:rFonts w:ascii="Arial" w:hAnsi="Arial" w:cs="Arial"/>
          <w:b/>
          <w:sz w:val="20"/>
          <w:szCs w:val="20"/>
        </w:rPr>
      </w:pPr>
      <w:r w:rsidRPr="0022060B">
        <w:rPr>
          <w:rFonts w:ascii="Arial" w:hAnsi="Arial" w:cs="Arial"/>
          <w:b/>
          <w:sz w:val="20"/>
          <w:szCs w:val="20"/>
        </w:rPr>
        <w:t xml:space="preserve">Número </w:t>
      </w:r>
      <w:r w:rsidR="00C571E2">
        <w:rPr>
          <w:rFonts w:ascii="Arial" w:hAnsi="Arial" w:cs="Arial"/>
          <w:b/>
          <w:sz w:val="20"/>
          <w:szCs w:val="20"/>
        </w:rPr>
        <w:t>3</w:t>
      </w:r>
      <w:r w:rsidR="00D903E0">
        <w:rPr>
          <w:rFonts w:ascii="Arial" w:hAnsi="Arial" w:cs="Arial"/>
          <w:b/>
          <w:sz w:val="20"/>
          <w:szCs w:val="20"/>
        </w:rPr>
        <w:t>8</w:t>
      </w:r>
    </w:p>
    <w:p w:rsidR="006F08D4" w:rsidRPr="0022060B" w:rsidRDefault="006F08D4" w:rsidP="00816942">
      <w:pPr>
        <w:spacing w:after="0"/>
        <w:jc w:val="center"/>
        <w:rPr>
          <w:rFonts w:ascii="Arial" w:hAnsi="Arial" w:cs="Arial"/>
          <w:b/>
          <w:sz w:val="20"/>
          <w:szCs w:val="20"/>
        </w:rPr>
      </w:pPr>
    </w:p>
    <w:p w:rsidR="001B5F7A" w:rsidRPr="0090061C" w:rsidRDefault="001B5F7A" w:rsidP="00816942">
      <w:pPr>
        <w:spacing w:after="0"/>
        <w:jc w:val="center"/>
        <w:rPr>
          <w:rFonts w:ascii="Arial" w:hAnsi="Arial" w:cs="Arial"/>
          <w:b/>
          <w:sz w:val="20"/>
          <w:szCs w:val="20"/>
        </w:rPr>
      </w:pPr>
      <w:r w:rsidRPr="00A35A07">
        <w:rPr>
          <w:rFonts w:ascii="Arial" w:hAnsi="Arial" w:cs="Arial"/>
          <w:b/>
          <w:sz w:val="20"/>
          <w:szCs w:val="20"/>
        </w:rPr>
        <w:t xml:space="preserve">Sessões: </w:t>
      </w:r>
      <w:r w:rsidR="00A35A07" w:rsidRPr="00A35A07">
        <w:rPr>
          <w:rFonts w:ascii="Arial" w:hAnsi="Arial" w:cs="Arial"/>
          <w:b/>
          <w:sz w:val="20"/>
          <w:szCs w:val="20"/>
        </w:rPr>
        <w:t>29</w:t>
      </w:r>
      <w:r w:rsidR="00814325" w:rsidRPr="00A35A07">
        <w:rPr>
          <w:rFonts w:ascii="Arial" w:hAnsi="Arial" w:cs="Arial"/>
          <w:b/>
          <w:sz w:val="20"/>
          <w:szCs w:val="20"/>
        </w:rPr>
        <w:t>.</w:t>
      </w:r>
      <w:r w:rsidR="00015FB0" w:rsidRPr="00A35A07">
        <w:rPr>
          <w:rFonts w:ascii="Arial" w:hAnsi="Arial" w:cs="Arial"/>
          <w:b/>
          <w:sz w:val="20"/>
          <w:szCs w:val="20"/>
        </w:rPr>
        <w:t>0</w:t>
      </w:r>
      <w:r w:rsidR="00B16F6C" w:rsidRPr="00A35A07">
        <w:rPr>
          <w:rFonts w:ascii="Arial" w:hAnsi="Arial" w:cs="Arial"/>
          <w:b/>
          <w:sz w:val="20"/>
          <w:szCs w:val="20"/>
        </w:rPr>
        <w:t>5</w:t>
      </w:r>
      <w:r w:rsidR="005A0FD0" w:rsidRPr="00A35A07">
        <w:rPr>
          <w:rFonts w:ascii="Arial" w:hAnsi="Arial" w:cs="Arial"/>
          <w:b/>
          <w:sz w:val="20"/>
          <w:szCs w:val="20"/>
        </w:rPr>
        <w:t xml:space="preserve"> </w:t>
      </w:r>
      <w:r w:rsidR="000D4DE6" w:rsidRPr="00A35A07">
        <w:rPr>
          <w:rFonts w:ascii="Arial" w:hAnsi="Arial" w:cs="Arial"/>
          <w:b/>
          <w:sz w:val="20"/>
          <w:szCs w:val="20"/>
        </w:rPr>
        <w:t>a</w:t>
      </w:r>
      <w:r w:rsidRPr="00A35A07">
        <w:rPr>
          <w:rFonts w:ascii="Arial" w:hAnsi="Arial" w:cs="Arial"/>
          <w:b/>
          <w:sz w:val="20"/>
          <w:szCs w:val="20"/>
        </w:rPr>
        <w:t xml:space="preserve"> </w:t>
      </w:r>
      <w:r w:rsidR="00A35A07" w:rsidRPr="00A35A07">
        <w:rPr>
          <w:rFonts w:ascii="Arial" w:hAnsi="Arial" w:cs="Arial"/>
          <w:b/>
          <w:sz w:val="20"/>
          <w:szCs w:val="20"/>
        </w:rPr>
        <w:t>07</w:t>
      </w:r>
      <w:r w:rsidR="005A0FD0" w:rsidRPr="00A35A07">
        <w:rPr>
          <w:rFonts w:ascii="Arial" w:hAnsi="Arial" w:cs="Arial"/>
          <w:b/>
          <w:sz w:val="20"/>
          <w:szCs w:val="20"/>
        </w:rPr>
        <w:t>.</w:t>
      </w:r>
      <w:r w:rsidR="00015FB0" w:rsidRPr="00A35A07">
        <w:rPr>
          <w:rFonts w:ascii="Arial" w:hAnsi="Arial" w:cs="Arial"/>
          <w:b/>
          <w:sz w:val="20"/>
          <w:szCs w:val="20"/>
        </w:rPr>
        <w:t>0</w:t>
      </w:r>
      <w:r w:rsidR="00A35A07" w:rsidRPr="00A35A07">
        <w:rPr>
          <w:rFonts w:ascii="Arial" w:hAnsi="Arial" w:cs="Arial"/>
          <w:b/>
          <w:sz w:val="20"/>
          <w:szCs w:val="20"/>
        </w:rPr>
        <w:t>6</w:t>
      </w:r>
      <w:r w:rsidRPr="00A35A07">
        <w:rPr>
          <w:rFonts w:ascii="Arial" w:hAnsi="Arial" w:cs="Arial"/>
          <w:b/>
          <w:sz w:val="20"/>
          <w:szCs w:val="20"/>
        </w:rPr>
        <w:t xml:space="preserve"> de 201</w:t>
      </w:r>
      <w:r w:rsidR="00015FB0" w:rsidRPr="00A35A07">
        <w:rPr>
          <w:rFonts w:ascii="Arial" w:hAnsi="Arial" w:cs="Arial"/>
          <w:b/>
          <w:sz w:val="20"/>
          <w:szCs w:val="20"/>
        </w:rPr>
        <w:t>8</w:t>
      </w:r>
    </w:p>
    <w:p w:rsidR="007436B5" w:rsidRDefault="007436B5"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bookmarkStart w:id="0" w:name="_GoBack"/>
      <w:r w:rsidRPr="0022060B">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22060B">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22060B">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22060B">
        <w:rPr>
          <w:rFonts w:ascii="Arial" w:hAnsi="Arial" w:cs="Arial"/>
          <w:color w:val="212121"/>
          <w:sz w:val="20"/>
          <w:szCs w:val="20"/>
        </w:rPr>
        <w:t xml:space="preserve"> </w:t>
      </w:r>
      <w:r w:rsidRPr="0022060B">
        <w:rPr>
          <w:rFonts w:ascii="Arial" w:hAnsi="Arial" w:cs="Arial"/>
          <w:sz w:val="20"/>
          <w:szCs w:val="20"/>
        </w:rPr>
        <w:t>As informações aqui apresentadas não são repositórios oficiais de jurisprudência.</w:t>
      </w:r>
    </w:p>
    <w:p w:rsidR="00FE7B14" w:rsidRPr="0022060B" w:rsidRDefault="00FE7B14"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60800" behindDoc="0" locked="0" layoutInCell="1" allowOverlap="1" wp14:anchorId="6B69DEB3" wp14:editId="579163A6">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3C5B981" id="Conector reto 1"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rsidR="00AE4F42" w:rsidRPr="0022060B" w:rsidRDefault="00AE4F42" w:rsidP="004A2925">
      <w:pPr>
        <w:shd w:val="pct10" w:color="auto" w:fill="auto"/>
        <w:spacing w:after="120"/>
        <w:jc w:val="center"/>
        <w:rPr>
          <w:rFonts w:ascii="Arial" w:hAnsi="Arial" w:cs="Arial"/>
          <w:b/>
          <w:sz w:val="20"/>
          <w:szCs w:val="20"/>
        </w:rPr>
      </w:pPr>
      <w:r w:rsidRPr="0022060B">
        <w:rPr>
          <w:rFonts w:ascii="Arial" w:hAnsi="Arial" w:cs="Arial"/>
          <w:b/>
          <w:sz w:val="20"/>
          <w:szCs w:val="20"/>
        </w:rPr>
        <w:t>S</w:t>
      </w:r>
      <w:r w:rsidR="00221D15" w:rsidRPr="0022060B">
        <w:rPr>
          <w:rFonts w:ascii="Arial" w:hAnsi="Arial" w:cs="Arial"/>
          <w:b/>
          <w:sz w:val="20"/>
          <w:szCs w:val="20"/>
        </w:rPr>
        <w:t>U</w:t>
      </w:r>
      <w:r w:rsidRPr="0022060B">
        <w:rPr>
          <w:rFonts w:ascii="Arial" w:hAnsi="Arial" w:cs="Arial"/>
          <w:b/>
          <w:sz w:val="20"/>
          <w:szCs w:val="20"/>
        </w:rPr>
        <w:t>MÁRIO</w:t>
      </w:r>
    </w:p>
    <w:p w:rsidR="00830BDE" w:rsidRPr="00830BDE" w:rsidRDefault="00830BDE" w:rsidP="004A2925">
      <w:pPr>
        <w:spacing w:after="0"/>
        <w:jc w:val="both"/>
        <w:rPr>
          <w:rFonts w:ascii="Arial" w:hAnsi="Arial" w:cs="Arial"/>
          <w:sz w:val="20"/>
          <w:szCs w:val="20"/>
        </w:rPr>
      </w:pPr>
      <w:r w:rsidRPr="00830BDE">
        <w:rPr>
          <w:rFonts w:ascii="Arial" w:hAnsi="Arial" w:cs="Arial"/>
          <w:sz w:val="20"/>
          <w:szCs w:val="20"/>
        </w:rPr>
        <w:t>1. Tomada de Contas Extraordinária. Admissão temporária de Agentes Comunitários de Saúde. Inobservância de norma legal. Ausência de medidas para regularizar o provimento dos cargos de Agente Comunitário de Saúde.</w:t>
      </w:r>
    </w:p>
    <w:p w:rsidR="004A2925" w:rsidRDefault="004A2925" w:rsidP="004A2925">
      <w:pPr>
        <w:spacing w:after="0"/>
        <w:jc w:val="both"/>
        <w:rPr>
          <w:rFonts w:ascii="Arial" w:hAnsi="Arial" w:cs="Arial"/>
          <w:sz w:val="20"/>
          <w:szCs w:val="20"/>
        </w:rPr>
      </w:pPr>
    </w:p>
    <w:p w:rsidR="00830BDE" w:rsidRPr="00830BDE" w:rsidRDefault="00830BDE" w:rsidP="004A2925">
      <w:pPr>
        <w:spacing w:after="0"/>
        <w:jc w:val="both"/>
        <w:rPr>
          <w:rFonts w:ascii="Arial" w:hAnsi="Arial" w:cs="Arial"/>
          <w:sz w:val="20"/>
          <w:szCs w:val="20"/>
        </w:rPr>
      </w:pPr>
      <w:r w:rsidRPr="00830BDE">
        <w:rPr>
          <w:rFonts w:ascii="Arial" w:hAnsi="Arial" w:cs="Arial"/>
          <w:sz w:val="20"/>
          <w:szCs w:val="20"/>
        </w:rPr>
        <w:t xml:space="preserve">2. Prestação de Contas Anual. Fundo Municipal de Saúde. Contribuições patronais ao RPPS não comprovadas. Irregularidade com determinação e imputação de multa. </w:t>
      </w:r>
    </w:p>
    <w:p w:rsidR="004A2925" w:rsidRDefault="004A2925" w:rsidP="004A2925">
      <w:pPr>
        <w:spacing w:after="0"/>
        <w:jc w:val="both"/>
        <w:rPr>
          <w:rFonts w:ascii="Arial" w:hAnsi="Arial" w:cs="Arial"/>
          <w:sz w:val="20"/>
          <w:szCs w:val="20"/>
        </w:rPr>
      </w:pPr>
    </w:p>
    <w:p w:rsidR="00830BDE" w:rsidRPr="00830BDE" w:rsidRDefault="00830BDE" w:rsidP="004A2925">
      <w:pPr>
        <w:spacing w:after="0"/>
        <w:jc w:val="both"/>
        <w:rPr>
          <w:rFonts w:ascii="Arial" w:hAnsi="Arial" w:cs="Arial"/>
          <w:sz w:val="20"/>
          <w:szCs w:val="20"/>
        </w:rPr>
      </w:pPr>
      <w:r w:rsidRPr="00830BDE">
        <w:rPr>
          <w:rFonts w:ascii="Arial" w:hAnsi="Arial" w:cs="Arial"/>
          <w:sz w:val="20"/>
          <w:szCs w:val="20"/>
        </w:rPr>
        <w:t xml:space="preserve">3. Certidão liberatória. Requerimento. SIM-AM sem alimentação no prazo fixado por Instrumento Normativa da Corte. Justificativas não acolhidas. Indeferimento. </w:t>
      </w:r>
    </w:p>
    <w:p w:rsidR="004A2925" w:rsidRDefault="004A2925" w:rsidP="004A2925">
      <w:pPr>
        <w:spacing w:after="0"/>
        <w:jc w:val="both"/>
        <w:rPr>
          <w:rFonts w:ascii="Arial" w:hAnsi="Arial" w:cs="Arial"/>
          <w:sz w:val="20"/>
          <w:szCs w:val="20"/>
        </w:rPr>
      </w:pPr>
    </w:p>
    <w:p w:rsidR="00830BDE" w:rsidRPr="00830BDE" w:rsidRDefault="00830BDE" w:rsidP="004A2925">
      <w:pPr>
        <w:spacing w:after="0"/>
        <w:jc w:val="both"/>
        <w:rPr>
          <w:rFonts w:ascii="Arial" w:hAnsi="Arial" w:cs="Arial"/>
          <w:sz w:val="20"/>
          <w:szCs w:val="20"/>
        </w:rPr>
      </w:pPr>
      <w:r w:rsidRPr="00830BDE">
        <w:rPr>
          <w:rFonts w:ascii="Arial" w:hAnsi="Arial" w:cs="Arial"/>
          <w:sz w:val="20"/>
          <w:szCs w:val="20"/>
        </w:rPr>
        <w:t xml:space="preserve">4. Prestação de Contas Anual. Poder Executivo. Despesas com publicidade institucional.   Montante superior ao limite legal. Parecer prévio. Irregularidade. </w:t>
      </w:r>
    </w:p>
    <w:p w:rsidR="004A2925" w:rsidRDefault="004A2925" w:rsidP="004A2925">
      <w:pPr>
        <w:spacing w:after="0"/>
        <w:jc w:val="both"/>
        <w:rPr>
          <w:rFonts w:ascii="Arial" w:hAnsi="Arial" w:cs="Arial"/>
          <w:sz w:val="20"/>
          <w:szCs w:val="20"/>
        </w:rPr>
      </w:pPr>
    </w:p>
    <w:p w:rsidR="00830BDE" w:rsidRPr="00830BDE" w:rsidRDefault="00830BDE" w:rsidP="004A2925">
      <w:pPr>
        <w:spacing w:after="0"/>
        <w:jc w:val="both"/>
        <w:rPr>
          <w:rFonts w:ascii="Arial" w:hAnsi="Arial" w:cs="Arial"/>
          <w:sz w:val="20"/>
          <w:szCs w:val="20"/>
        </w:rPr>
      </w:pPr>
      <w:r w:rsidRPr="00830BDE">
        <w:rPr>
          <w:rFonts w:ascii="Arial" w:hAnsi="Arial" w:cs="Arial"/>
          <w:sz w:val="20"/>
          <w:szCs w:val="20"/>
        </w:rPr>
        <w:t>5. Prestação de contas anual. Envio de dados eletrônicos. Apresentação da prestação de contas. Atraso.</w:t>
      </w:r>
    </w:p>
    <w:p w:rsidR="004A2925" w:rsidRDefault="004A2925" w:rsidP="004A2925">
      <w:pPr>
        <w:spacing w:after="0"/>
        <w:jc w:val="both"/>
        <w:rPr>
          <w:rFonts w:ascii="Arial" w:hAnsi="Arial" w:cs="Arial"/>
          <w:sz w:val="20"/>
          <w:szCs w:val="20"/>
        </w:rPr>
      </w:pPr>
    </w:p>
    <w:p w:rsidR="00830BDE" w:rsidRPr="00830BDE" w:rsidRDefault="00830BDE" w:rsidP="004A2925">
      <w:pPr>
        <w:spacing w:after="0"/>
        <w:jc w:val="both"/>
        <w:rPr>
          <w:rFonts w:ascii="Arial" w:hAnsi="Arial" w:cs="Arial"/>
          <w:sz w:val="20"/>
          <w:szCs w:val="20"/>
        </w:rPr>
      </w:pPr>
      <w:r w:rsidRPr="00830BDE">
        <w:rPr>
          <w:rFonts w:ascii="Arial" w:hAnsi="Arial" w:cs="Arial"/>
          <w:sz w:val="20"/>
          <w:szCs w:val="20"/>
        </w:rPr>
        <w:t xml:space="preserve">6. Prestação de contas. Consórcio intermunicipal de saúde. Dados do Sistema SIM-AM. Atraso que não prejudica as funções de controle desta Corte de Contas. Regularidade. </w:t>
      </w:r>
    </w:p>
    <w:p w:rsidR="004A2925" w:rsidRDefault="004A2925" w:rsidP="004A2925">
      <w:pPr>
        <w:spacing w:after="0"/>
        <w:jc w:val="both"/>
        <w:rPr>
          <w:rFonts w:ascii="Arial" w:hAnsi="Arial" w:cs="Arial"/>
          <w:sz w:val="20"/>
          <w:szCs w:val="20"/>
        </w:rPr>
      </w:pPr>
    </w:p>
    <w:p w:rsidR="00830BDE" w:rsidRPr="00830BDE" w:rsidRDefault="00830BDE" w:rsidP="004A2925">
      <w:pPr>
        <w:spacing w:after="0"/>
        <w:jc w:val="both"/>
        <w:rPr>
          <w:rFonts w:ascii="Arial" w:hAnsi="Arial" w:cs="Arial"/>
          <w:sz w:val="20"/>
          <w:szCs w:val="20"/>
        </w:rPr>
      </w:pPr>
      <w:r w:rsidRPr="00830BDE">
        <w:rPr>
          <w:rFonts w:ascii="Arial" w:hAnsi="Arial" w:cs="Arial"/>
          <w:sz w:val="20"/>
          <w:szCs w:val="20"/>
        </w:rPr>
        <w:t xml:space="preserve">7. Prestação de Contas. Transferência voluntária. Despesas a título de taxas administrativas. Caráter indenizatório não demonstrado. Irregularidade e aplicação de multa. </w:t>
      </w:r>
    </w:p>
    <w:p w:rsidR="004A2925" w:rsidRDefault="004A2925" w:rsidP="004A2925">
      <w:pPr>
        <w:spacing w:after="0"/>
        <w:jc w:val="both"/>
        <w:rPr>
          <w:rFonts w:ascii="Arial" w:hAnsi="Arial" w:cs="Arial"/>
          <w:sz w:val="20"/>
          <w:szCs w:val="20"/>
        </w:rPr>
      </w:pPr>
    </w:p>
    <w:p w:rsidR="00830BDE" w:rsidRPr="00830BDE" w:rsidRDefault="00830BDE" w:rsidP="004A2925">
      <w:pPr>
        <w:spacing w:after="0"/>
        <w:jc w:val="both"/>
        <w:rPr>
          <w:rFonts w:ascii="Arial" w:hAnsi="Arial" w:cs="Arial"/>
          <w:sz w:val="20"/>
          <w:szCs w:val="20"/>
        </w:rPr>
      </w:pPr>
      <w:r w:rsidRPr="00830BDE">
        <w:rPr>
          <w:rFonts w:ascii="Arial" w:hAnsi="Arial" w:cs="Arial"/>
          <w:sz w:val="20"/>
          <w:szCs w:val="20"/>
        </w:rPr>
        <w:t>8. Consulta. Devolução mensal e de valores fixos do saldo em caixa. Vinculação da devolução dos recursos. Atendimento de projeto ou objetivo específico. Impossibilidade.</w:t>
      </w:r>
    </w:p>
    <w:p w:rsidR="00830BDE" w:rsidRPr="00830BDE" w:rsidRDefault="00830BDE" w:rsidP="004A2925">
      <w:pPr>
        <w:spacing w:after="0"/>
        <w:jc w:val="both"/>
        <w:rPr>
          <w:rFonts w:ascii="Arial" w:hAnsi="Arial" w:cs="Arial"/>
          <w:sz w:val="20"/>
          <w:szCs w:val="20"/>
        </w:rPr>
      </w:pPr>
      <w:r w:rsidRPr="00830BDE">
        <w:rPr>
          <w:rFonts w:ascii="Arial" w:hAnsi="Arial" w:cs="Arial"/>
          <w:sz w:val="20"/>
          <w:szCs w:val="20"/>
        </w:rPr>
        <w:lastRenderedPageBreak/>
        <w:t>9. Representação. Contratação por interposta pessoa. Ofensa ao artigo 37, inciso II, da CF/88. Irregularidade. Não imposição de sanção aos gestores. Fatos anteriores à vigência da Lei Complementar nº 113/05. Lei nº 13.655, de 25 de abril de 2018. Precedentes desta Corte.</w:t>
      </w:r>
    </w:p>
    <w:p w:rsidR="004A2925" w:rsidRDefault="004A2925" w:rsidP="004A2925">
      <w:pPr>
        <w:spacing w:after="0"/>
        <w:jc w:val="both"/>
        <w:rPr>
          <w:rFonts w:ascii="Arial" w:hAnsi="Arial" w:cs="Arial"/>
          <w:sz w:val="20"/>
          <w:szCs w:val="20"/>
        </w:rPr>
      </w:pPr>
    </w:p>
    <w:p w:rsidR="00830BDE" w:rsidRPr="00830BDE" w:rsidRDefault="00830BDE" w:rsidP="004A2925">
      <w:pPr>
        <w:spacing w:after="0"/>
        <w:jc w:val="both"/>
        <w:rPr>
          <w:rFonts w:ascii="Arial" w:hAnsi="Arial" w:cs="Arial"/>
          <w:sz w:val="20"/>
          <w:szCs w:val="20"/>
        </w:rPr>
      </w:pPr>
      <w:r w:rsidRPr="00830BDE">
        <w:rPr>
          <w:rFonts w:ascii="Arial" w:hAnsi="Arial" w:cs="Arial"/>
          <w:sz w:val="20"/>
          <w:szCs w:val="20"/>
        </w:rPr>
        <w:t>10. Comunicação de irregularidade. Pagamento de pessoal acima do teto constitucional. Procedência parcial. Aplicação de multa e expedição de determinação.</w:t>
      </w:r>
    </w:p>
    <w:p w:rsidR="004429A2" w:rsidRPr="0022060B" w:rsidRDefault="004429A2" w:rsidP="00816942">
      <w:pPr>
        <w:spacing w:after="0"/>
        <w:jc w:val="both"/>
        <w:rPr>
          <w:rStyle w:val="Hyperlink"/>
          <w:rFonts w:ascii="Arial" w:hAnsi="Arial" w:cs="Arial"/>
          <w:b/>
          <w:color w:val="000000" w:themeColor="text1"/>
          <w:sz w:val="20"/>
          <w:szCs w:val="20"/>
          <w:u w:val="none"/>
        </w:rPr>
      </w:pPr>
    </w:p>
    <w:p w:rsidR="00712A93" w:rsidRPr="0022060B" w:rsidRDefault="00712A93" w:rsidP="004A2925">
      <w:pPr>
        <w:shd w:val="pct10" w:color="auto" w:fill="auto"/>
        <w:spacing w:after="120"/>
        <w:jc w:val="center"/>
        <w:rPr>
          <w:rFonts w:ascii="Arial" w:hAnsi="Arial" w:cs="Arial"/>
          <w:b/>
          <w:sz w:val="20"/>
          <w:szCs w:val="20"/>
        </w:rPr>
      </w:pPr>
      <w:r w:rsidRPr="0022060B">
        <w:rPr>
          <w:rFonts w:ascii="Arial" w:hAnsi="Arial" w:cs="Arial"/>
          <w:b/>
          <w:sz w:val="20"/>
          <w:szCs w:val="20"/>
        </w:rPr>
        <w:t>PRIMEIRA CÂMARA</w:t>
      </w:r>
    </w:p>
    <w:p w:rsidR="004429A2" w:rsidRPr="00830BDE" w:rsidRDefault="00830BDE" w:rsidP="00484CA4">
      <w:pPr>
        <w:autoSpaceDE w:val="0"/>
        <w:autoSpaceDN w:val="0"/>
        <w:adjustRightInd w:val="0"/>
        <w:spacing w:after="0"/>
        <w:jc w:val="both"/>
        <w:rPr>
          <w:rFonts w:ascii="Arial" w:hAnsi="Arial" w:cs="Arial"/>
          <w:b/>
          <w:sz w:val="20"/>
          <w:szCs w:val="20"/>
        </w:rPr>
      </w:pPr>
      <w:r w:rsidRPr="00830BDE">
        <w:rPr>
          <w:rFonts w:ascii="Arial" w:hAnsi="Arial" w:cs="Arial"/>
          <w:b/>
          <w:sz w:val="20"/>
          <w:szCs w:val="20"/>
        </w:rPr>
        <w:t>1.</w:t>
      </w:r>
      <w:r>
        <w:rPr>
          <w:rFonts w:ascii="Arial" w:hAnsi="Arial" w:cs="Arial"/>
          <w:b/>
          <w:sz w:val="20"/>
          <w:szCs w:val="20"/>
        </w:rPr>
        <w:t xml:space="preserve"> </w:t>
      </w:r>
      <w:r w:rsidR="00DC46BE" w:rsidRPr="00830BDE">
        <w:rPr>
          <w:rFonts w:ascii="Arial" w:hAnsi="Arial" w:cs="Arial"/>
          <w:b/>
          <w:sz w:val="20"/>
          <w:szCs w:val="20"/>
        </w:rPr>
        <w:t>Tomada de Contas Extraordinária. Admissão temporária de Agentes Comunitários de Saúde. Inobservância de norma legal. Ausência de medidas para regularizar o provimento dos cargos de Agente Comunitário de Saúde.</w:t>
      </w:r>
    </w:p>
    <w:p w:rsidR="00484CA4" w:rsidRDefault="00484CA4" w:rsidP="00484CA4">
      <w:pPr>
        <w:autoSpaceDE w:val="0"/>
        <w:autoSpaceDN w:val="0"/>
        <w:adjustRightInd w:val="0"/>
        <w:spacing w:after="0"/>
        <w:jc w:val="both"/>
        <w:rPr>
          <w:rFonts w:ascii="Arial" w:hAnsi="Arial" w:cs="Arial"/>
          <w:sz w:val="20"/>
          <w:szCs w:val="20"/>
        </w:rPr>
      </w:pPr>
    </w:p>
    <w:p w:rsidR="00DC46BE" w:rsidRDefault="00DC46BE" w:rsidP="00484CA4">
      <w:pPr>
        <w:autoSpaceDE w:val="0"/>
        <w:autoSpaceDN w:val="0"/>
        <w:adjustRightInd w:val="0"/>
        <w:spacing w:after="0"/>
        <w:jc w:val="both"/>
        <w:rPr>
          <w:rFonts w:ascii="Arial" w:hAnsi="Arial" w:cs="Arial"/>
          <w:sz w:val="20"/>
          <w:szCs w:val="20"/>
        </w:rPr>
      </w:pPr>
      <w:r w:rsidRPr="001E75A0">
        <w:rPr>
          <w:rFonts w:ascii="Arial" w:hAnsi="Arial" w:cs="Arial"/>
          <w:sz w:val="20"/>
          <w:szCs w:val="20"/>
        </w:rPr>
        <w:t>A Lei n° 11.350/2006, que regulamenta o § 5o do art. 198 da Constituição Federal4 e disciplina as atividades de Agente Comunitário de Saúde e de Agente de Combate às Endemias veda, em seu art. 16, a contratação temporária ou terceirizada de Agentes Comunitários de Saúde e de Agentes de Combate às Endemias, salvo na hipótese de combate a surtos epidêmicos.</w:t>
      </w:r>
    </w:p>
    <w:p w:rsidR="00484CA4" w:rsidRDefault="00484CA4" w:rsidP="00484CA4">
      <w:pPr>
        <w:autoSpaceDE w:val="0"/>
        <w:autoSpaceDN w:val="0"/>
        <w:adjustRightInd w:val="0"/>
        <w:spacing w:after="0"/>
        <w:jc w:val="both"/>
        <w:rPr>
          <w:rFonts w:ascii="Arial" w:hAnsi="Arial" w:cs="Arial"/>
          <w:sz w:val="20"/>
          <w:szCs w:val="20"/>
        </w:rPr>
      </w:pPr>
    </w:p>
    <w:p w:rsidR="001E75A0" w:rsidRDefault="001E75A0" w:rsidP="00484CA4">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624169/17 - </w:t>
      </w:r>
      <w:hyperlink r:id="rId8" w:history="1">
        <w:r w:rsidRPr="00117586">
          <w:rPr>
            <w:rStyle w:val="Hyperlink"/>
            <w:rFonts w:ascii="Arial" w:hAnsi="Arial" w:cs="Arial"/>
            <w:sz w:val="20"/>
            <w:szCs w:val="20"/>
          </w:rPr>
          <w:t>Acórdão 1446/18 – Primeira Câmara</w:t>
        </w:r>
      </w:hyperlink>
      <w:r>
        <w:rPr>
          <w:rFonts w:ascii="Arial" w:hAnsi="Arial" w:cs="Arial"/>
          <w:sz w:val="20"/>
          <w:szCs w:val="20"/>
        </w:rPr>
        <w:t xml:space="preserve"> - Rel. Conselheiro </w:t>
      </w:r>
      <w:r w:rsidRPr="001E75A0">
        <w:rPr>
          <w:rFonts w:ascii="Arial" w:hAnsi="Arial" w:cs="Arial"/>
          <w:sz w:val="20"/>
          <w:szCs w:val="20"/>
        </w:rPr>
        <w:t>Fábio de Souza Camargo</w:t>
      </w:r>
      <w:r>
        <w:rPr>
          <w:rFonts w:ascii="Arial" w:hAnsi="Arial" w:cs="Arial"/>
          <w:sz w:val="20"/>
          <w:szCs w:val="20"/>
        </w:rPr>
        <w:t xml:space="preserve">.  </w:t>
      </w:r>
    </w:p>
    <w:p w:rsidR="004429A2" w:rsidRDefault="004429A2" w:rsidP="00484CA4">
      <w:pPr>
        <w:autoSpaceDE w:val="0"/>
        <w:autoSpaceDN w:val="0"/>
        <w:adjustRightInd w:val="0"/>
        <w:spacing w:after="0"/>
        <w:jc w:val="both"/>
        <w:rPr>
          <w:rFonts w:ascii="Arial" w:hAnsi="Arial" w:cs="Arial"/>
          <w:sz w:val="20"/>
          <w:szCs w:val="20"/>
        </w:rPr>
      </w:pPr>
    </w:p>
    <w:p w:rsidR="00830BDE" w:rsidRPr="00312059" w:rsidRDefault="00830BDE" w:rsidP="00484CA4">
      <w:pPr>
        <w:autoSpaceDE w:val="0"/>
        <w:autoSpaceDN w:val="0"/>
        <w:adjustRightInd w:val="0"/>
        <w:spacing w:after="0"/>
        <w:jc w:val="both"/>
        <w:rPr>
          <w:rFonts w:ascii="Arial" w:hAnsi="Arial" w:cs="Arial"/>
          <w:b/>
          <w:sz w:val="20"/>
          <w:szCs w:val="20"/>
        </w:rPr>
      </w:pPr>
      <w:r>
        <w:rPr>
          <w:rFonts w:ascii="Arial" w:hAnsi="Arial" w:cs="Arial"/>
          <w:b/>
          <w:sz w:val="20"/>
          <w:szCs w:val="20"/>
        </w:rPr>
        <w:t xml:space="preserve">2. </w:t>
      </w:r>
      <w:r w:rsidRPr="00312059">
        <w:rPr>
          <w:rFonts w:ascii="Arial" w:hAnsi="Arial" w:cs="Arial"/>
          <w:b/>
          <w:sz w:val="20"/>
          <w:szCs w:val="20"/>
        </w:rPr>
        <w:t xml:space="preserve">Prestação de Contas Anual. Fundo Municipal de Saúde. Contribuições patronais ao RPPS não comprovadas. Irregularidade com determinação e imputação de multa. </w:t>
      </w:r>
    </w:p>
    <w:p w:rsidR="00484CA4" w:rsidRDefault="00484CA4" w:rsidP="00484CA4">
      <w:pPr>
        <w:autoSpaceDE w:val="0"/>
        <w:autoSpaceDN w:val="0"/>
        <w:adjustRightInd w:val="0"/>
        <w:spacing w:after="0"/>
        <w:jc w:val="both"/>
        <w:rPr>
          <w:rFonts w:ascii="Arial" w:hAnsi="Arial" w:cs="Arial"/>
          <w:sz w:val="20"/>
          <w:szCs w:val="20"/>
        </w:rPr>
      </w:pPr>
    </w:p>
    <w:p w:rsidR="00830BDE" w:rsidRDefault="00830BDE" w:rsidP="00484CA4">
      <w:pPr>
        <w:autoSpaceDE w:val="0"/>
        <w:autoSpaceDN w:val="0"/>
        <w:adjustRightInd w:val="0"/>
        <w:spacing w:after="0"/>
        <w:jc w:val="both"/>
        <w:rPr>
          <w:rFonts w:ascii="Arial" w:hAnsi="Arial" w:cs="Arial"/>
          <w:sz w:val="20"/>
          <w:szCs w:val="20"/>
        </w:rPr>
      </w:pPr>
      <w:r>
        <w:rPr>
          <w:rFonts w:ascii="Arial" w:hAnsi="Arial" w:cs="Arial"/>
          <w:sz w:val="20"/>
          <w:szCs w:val="20"/>
        </w:rPr>
        <w:t xml:space="preserve">Evidenciou-se falta de pagamento de contribuições patronais devidas ao Regime Próprio de Previdência Municipal. Esta inadimplência fica sujeita à multa administrativa por infração à norma legal ou regulamentar, prevista no inciso III do art. 87, em conjunto com o §4º do mesmo artigo, da Lei Complementar Estadual nº 113/05. </w:t>
      </w:r>
    </w:p>
    <w:p w:rsidR="00484CA4" w:rsidRDefault="00484CA4" w:rsidP="00484CA4">
      <w:pPr>
        <w:autoSpaceDE w:val="0"/>
        <w:autoSpaceDN w:val="0"/>
        <w:adjustRightInd w:val="0"/>
        <w:spacing w:after="0"/>
        <w:jc w:val="both"/>
        <w:rPr>
          <w:rFonts w:ascii="Arial" w:hAnsi="Arial" w:cs="Arial"/>
          <w:sz w:val="20"/>
          <w:szCs w:val="20"/>
        </w:rPr>
      </w:pPr>
    </w:p>
    <w:p w:rsidR="00830BDE" w:rsidRDefault="00830BDE" w:rsidP="00484CA4">
      <w:pPr>
        <w:autoSpaceDE w:val="0"/>
        <w:autoSpaceDN w:val="0"/>
        <w:adjustRightInd w:val="0"/>
        <w:spacing w:after="0"/>
        <w:jc w:val="both"/>
        <w:rPr>
          <w:rFonts w:ascii="Arial" w:hAnsi="Arial" w:cs="Arial"/>
          <w:sz w:val="20"/>
          <w:szCs w:val="20"/>
        </w:rPr>
      </w:pPr>
      <w:r>
        <w:rPr>
          <w:rFonts w:ascii="Arial" w:hAnsi="Arial" w:cs="Arial"/>
          <w:sz w:val="20"/>
          <w:szCs w:val="20"/>
        </w:rPr>
        <w:t xml:space="preserve">Ainda que a municipalidade tenha encaminhado comprovantes de pagamento, alguns valores ficaram sem comprovação, bem como, não foram apurados os valores relativos aos encargos por atraso, já que a maioria dos pagamentos ocorreu a partir de novembro de 2013. </w:t>
      </w:r>
    </w:p>
    <w:p w:rsidR="00830BDE" w:rsidRDefault="00830BDE" w:rsidP="00484CA4">
      <w:pPr>
        <w:autoSpaceDE w:val="0"/>
        <w:autoSpaceDN w:val="0"/>
        <w:adjustRightInd w:val="0"/>
        <w:spacing w:after="0"/>
        <w:jc w:val="both"/>
        <w:rPr>
          <w:rFonts w:ascii="Arial" w:hAnsi="Arial" w:cs="Arial"/>
          <w:sz w:val="20"/>
          <w:szCs w:val="20"/>
        </w:rPr>
      </w:pPr>
      <w:r>
        <w:rPr>
          <w:rFonts w:ascii="Arial" w:hAnsi="Arial" w:cs="Arial"/>
          <w:sz w:val="20"/>
          <w:szCs w:val="20"/>
        </w:rPr>
        <w:t>Determinação de comprovação da diferença faltante na prestação de contas do exercício de 2018.</w:t>
      </w:r>
    </w:p>
    <w:p w:rsidR="00484CA4" w:rsidRDefault="00484CA4" w:rsidP="00484CA4">
      <w:pPr>
        <w:spacing w:after="0"/>
        <w:jc w:val="both"/>
        <w:rPr>
          <w:rFonts w:ascii="Arial" w:hAnsi="Arial" w:cs="Arial"/>
          <w:sz w:val="20"/>
          <w:szCs w:val="20"/>
        </w:rPr>
      </w:pPr>
    </w:p>
    <w:p w:rsidR="00830BDE" w:rsidRDefault="00830BDE" w:rsidP="00484CA4">
      <w:pPr>
        <w:spacing w:after="0"/>
        <w:jc w:val="both"/>
        <w:rPr>
          <w:rFonts w:ascii="Arial" w:hAnsi="Arial" w:cs="Arial"/>
          <w:sz w:val="20"/>
          <w:szCs w:val="20"/>
        </w:rPr>
      </w:pPr>
      <w:r>
        <w:rPr>
          <w:rFonts w:ascii="Arial" w:hAnsi="Arial" w:cs="Arial"/>
          <w:sz w:val="20"/>
          <w:szCs w:val="20"/>
        </w:rPr>
        <w:t xml:space="preserve">Processo nº 278294/14 – </w:t>
      </w:r>
      <w:hyperlink r:id="rId9" w:history="1">
        <w:r>
          <w:rPr>
            <w:rStyle w:val="Hyperlink"/>
            <w:rFonts w:ascii="Arial" w:hAnsi="Arial" w:cs="Arial"/>
            <w:sz w:val="20"/>
            <w:szCs w:val="20"/>
          </w:rPr>
          <w:t>Acórdão nº 1396/18 - Primeira</w:t>
        </w:r>
        <w:r w:rsidRPr="00E35609">
          <w:rPr>
            <w:rStyle w:val="Hyperlink"/>
            <w:rFonts w:ascii="Arial" w:hAnsi="Arial" w:cs="Arial"/>
            <w:sz w:val="20"/>
            <w:szCs w:val="20"/>
          </w:rPr>
          <w:t xml:space="preserve"> Câmara</w:t>
        </w:r>
      </w:hyperlink>
      <w:r>
        <w:rPr>
          <w:rFonts w:ascii="Arial" w:hAnsi="Arial" w:cs="Arial"/>
          <w:sz w:val="20"/>
          <w:szCs w:val="20"/>
        </w:rPr>
        <w:t xml:space="preserve"> – Relator Conselheiro Fernando Augusto Mello Guimarães.</w:t>
      </w:r>
    </w:p>
    <w:p w:rsidR="00830BDE" w:rsidRDefault="00830BDE" w:rsidP="00484CA4">
      <w:pPr>
        <w:spacing w:after="0"/>
        <w:jc w:val="both"/>
        <w:rPr>
          <w:rFonts w:ascii="Arial" w:hAnsi="Arial" w:cs="Arial"/>
          <w:b/>
          <w:sz w:val="20"/>
          <w:szCs w:val="20"/>
        </w:rPr>
      </w:pPr>
    </w:p>
    <w:p w:rsidR="00830BDE" w:rsidRDefault="00830BDE" w:rsidP="00484CA4">
      <w:pPr>
        <w:autoSpaceDE w:val="0"/>
        <w:autoSpaceDN w:val="0"/>
        <w:adjustRightInd w:val="0"/>
        <w:spacing w:after="0"/>
        <w:jc w:val="both"/>
        <w:rPr>
          <w:rFonts w:ascii="Arial" w:hAnsi="Arial" w:cs="Arial"/>
          <w:b/>
          <w:sz w:val="20"/>
          <w:szCs w:val="20"/>
        </w:rPr>
      </w:pPr>
      <w:r>
        <w:rPr>
          <w:rFonts w:ascii="Arial" w:hAnsi="Arial" w:cs="Arial"/>
          <w:b/>
          <w:sz w:val="20"/>
          <w:szCs w:val="20"/>
        </w:rPr>
        <w:t xml:space="preserve">3. Certidão liberatória. Requerimento. SIM-AM sem alimentação no prazo fixado por Instrumento Normativa da Corte. Justificativas não acolhidas. Indeferimento. </w:t>
      </w:r>
    </w:p>
    <w:p w:rsidR="00484CA4" w:rsidRDefault="00484CA4" w:rsidP="00484CA4">
      <w:pPr>
        <w:autoSpaceDE w:val="0"/>
        <w:autoSpaceDN w:val="0"/>
        <w:adjustRightInd w:val="0"/>
        <w:spacing w:after="0"/>
        <w:jc w:val="both"/>
        <w:rPr>
          <w:rFonts w:ascii="Arial" w:hAnsi="Arial" w:cs="Arial"/>
          <w:sz w:val="20"/>
          <w:szCs w:val="20"/>
        </w:rPr>
      </w:pPr>
    </w:p>
    <w:p w:rsidR="00830BDE" w:rsidRDefault="00830BDE" w:rsidP="00484CA4">
      <w:pPr>
        <w:autoSpaceDE w:val="0"/>
        <w:autoSpaceDN w:val="0"/>
        <w:adjustRightInd w:val="0"/>
        <w:spacing w:after="0"/>
        <w:jc w:val="both"/>
        <w:rPr>
          <w:rFonts w:ascii="Arial" w:hAnsi="Arial" w:cs="Arial"/>
          <w:sz w:val="20"/>
          <w:szCs w:val="20"/>
        </w:rPr>
      </w:pPr>
      <w:r w:rsidRPr="005A244E">
        <w:rPr>
          <w:rFonts w:ascii="Arial" w:hAnsi="Arial" w:cs="Arial"/>
          <w:sz w:val="20"/>
          <w:szCs w:val="20"/>
        </w:rPr>
        <w:lastRenderedPageBreak/>
        <w:t>De acordo com o cronograma</w:t>
      </w:r>
      <w:r>
        <w:rPr>
          <w:rFonts w:ascii="Arial" w:hAnsi="Arial" w:cs="Arial"/>
          <w:sz w:val="20"/>
          <w:szCs w:val="20"/>
        </w:rPr>
        <w:t xml:space="preserve"> constante da IN141/18-TCE/PR, estabeleceu-se a data de 30 de abril como termo final para conclusão do SIM-AM do mês “zero” (abertura). </w:t>
      </w:r>
    </w:p>
    <w:p w:rsidR="00830BDE" w:rsidRDefault="00830BDE" w:rsidP="00484CA4">
      <w:pPr>
        <w:autoSpaceDE w:val="0"/>
        <w:autoSpaceDN w:val="0"/>
        <w:adjustRightInd w:val="0"/>
        <w:spacing w:after="0"/>
        <w:jc w:val="both"/>
        <w:rPr>
          <w:rFonts w:ascii="Arial" w:hAnsi="Arial" w:cs="Arial"/>
          <w:sz w:val="20"/>
          <w:szCs w:val="20"/>
        </w:rPr>
      </w:pPr>
      <w:r>
        <w:rPr>
          <w:rFonts w:ascii="Arial" w:hAnsi="Arial" w:cs="Arial"/>
          <w:sz w:val="20"/>
          <w:szCs w:val="20"/>
        </w:rPr>
        <w:t xml:space="preserve">Não atendido o referido prazo, o ente inadimplente não deve ter acesso à certidão liberatória, nos termos do disposto no art. 289, § 1º, do RITCE/PR c/c art. 1º, II, da IN 68/12. </w:t>
      </w:r>
    </w:p>
    <w:p w:rsidR="00830BDE" w:rsidRPr="005A244E" w:rsidRDefault="00830BDE" w:rsidP="00484CA4">
      <w:pPr>
        <w:autoSpaceDE w:val="0"/>
        <w:autoSpaceDN w:val="0"/>
        <w:adjustRightInd w:val="0"/>
        <w:spacing w:after="0"/>
        <w:jc w:val="both"/>
        <w:rPr>
          <w:rFonts w:ascii="Arial" w:hAnsi="Arial" w:cs="Arial"/>
          <w:sz w:val="20"/>
          <w:szCs w:val="20"/>
        </w:rPr>
      </w:pPr>
      <w:r>
        <w:rPr>
          <w:rFonts w:ascii="Arial" w:hAnsi="Arial" w:cs="Arial"/>
          <w:sz w:val="20"/>
          <w:szCs w:val="20"/>
        </w:rPr>
        <w:t xml:space="preserve">Justificativas lacônicas e sem comprovação documental por parte do município </w:t>
      </w:r>
      <w:proofErr w:type="gramStart"/>
      <w:r>
        <w:rPr>
          <w:rFonts w:ascii="Arial" w:hAnsi="Arial" w:cs="Arial"/>
          <w:sz w:val="20"/>
          <w:szCs w:val="20"/>
        </w:rPr>
        <w:t>e  sem</w:t>
      </w:r>
      <w:proofErr w:type="gramEnd"/>
      <w:r>
        <w:rPr>
          <w:rFonts w:ascii="Arial" w:hAnsi="Arial" w:cs="Arial"/>
          <w:sz w:val="20"/>
          <w:szCs w:val="20"/>
        </w:rPr>
        <w:t xml:space="preserve"> qualquer indicação de fato que efetivamente demonstrasse a impossibilidade de atendimento do prazo de envio de dados, não foram acolhidas no julgado que indeferiu o pedido. </w:t>
      </w:r>
    </w:p>
    <w:p w:rsidR="00484CA4" w:rsidRDefault="00484CA4" w:rsidP="00484CA4">
      <w:pPr>
        <w:spacing w:after="0"/>
        <w:jc w:val="both"/>
        <w:rPr>
          <w:rFonts w:ascii="Arial" w:hAnsi="Arial" w:cs="Arial"/>
          <w:sz w:val="20"/>
          <w:szCs w:val="20"/>
        </w:rPr>
      </w:pPr>
    </w:p>
    <w:p w:rsidR="00830BDE" w:rsidRDefault="00830BDE" w:rsidP="00484CA4">
      <w:pPr>
        <w:spacing w:after="0"/>
        <w:jc w:val="both"/>
        <w:rPr>
          <w:rFonts w:ascii="Arial" w:hAnsi="Arial" w:cs="Arial"/>
          <w:sz w:val="20"/>
          <w:szCs w:val="20"/>
        </w:rPr>
      </w:pPr>
      <w:r>
        <w:rPr>
          <w:rFonts w:ascii="Arial" w:hAnsi="Arial" w:cs="Arial"/>
          <w:sz w:val="20"/>
          <w:szCs w:val="20"/>
        </w:rPr>
        <w:t xml:space="preserve">Processo nº 338062/18 – </w:t>
      </w:r>
      <w:hyperlink r:id="rId10" w:history="1">
        <w:r>
          <w:rPr>
            <w:rStyle w:val="Hyperlink"/>
            <w:rFonts w:ascii="Arial" w:hAnsi="Arial" w:cs="Arial"/>
            <w:sz w:val="20"/>
            <w:szCs w:val="20"/>
          </w:rPr>
          <w:t>Acórdão nº 1394/18 - Primeira</w:t>
        </w:r>
        <w:r w:rsidRPr="00E35609">
          <w:rPr>
            <w:rStyle w:val="Hyperlink"/>
            <w:rFonts w:ascii="Arial" w:hAnsi="Arial" w:cs="Arial"/>
            <w:sz w:val="20"/>
            <w:szCs w:val="20"/>
          </w:rPr>
          <w:t xml:space="preserve"> Câmara</w:t>
        </w:r>
      </w:hyperlink>
      <w:r>
        <w:rPr>
          <w:rFonts w:ascii="Arial" w:hAnsi="Arial" w:cs="Arial"/>
          <w:sz w:val="20"/>
          <w:szCs w:val="20"/>
        </w:rPr>
        <w:t xml:space="preserve"> – Relator Conselheiro Fernando Augusto Mello Guimarães. </w:t>
      </w:r>
    </w:p>
    <w:p w:rsidR="00484CA4" w:rsidRDefault="00484CA4" w:rsidP="00484CA4">
      <w:pPr>
        <w:autoSpaceDE w:val="0"/>
        <w:autoSpaceDN w:val="0"/>
        <w:adjustRightInd w:val="0"/>
        <w:spacing w:after="0"/>
        <w:jc w:val="both"/>
        <w:rPr>
          <w:rFonts w:ascii="Arial" w:hAnsi="Arial" w:cs="Arial"/>
          <w:b/>
          <w:sz w:val="20"/>
          <w:szCs w:val="20"/>
        </w:rPr>
      </w:pPr>
    </w:p>
    <w:p w:rsidR="00830BDE" w:rsidRDefault="00830BDE" w:rsidP="00484CA4">
      <w:pPr>
        <w:autoSpaceDE w:val="0"/>
        <w:autoSpaceDN w:val="0"/>
        <w:adjustRightInd w:val="0"/>
        <w:spacing w:after="0"/>
        <w:jc w:val="both"/>
        <w:rPr>
          <w:rFonts w:ascii="Arial" w:hAnsi="Arial" w:cs="Arial"/>
          <w:b/>
          <w:sz w:val="20"/>
          <w:szCs w:val="20"/>
        </w:rPr>
      </w:pPr>
      <w:r>
        <w:rPr>
          <w:rFonts w:ascii="Arial" w:hAnsi="Arial" w:cs="Arial"/>
          <w:b/>
          <w:sz w:val="20"/>
          <w:szCs w:val="20"/>
        </w:rPr>
        <w:t xml:space="preserve">4. Prestação de Contas Anual. Poder Executivo. Despesas com publicidade institucional.   Montante superior ao limite legal. Parecer prévio. Irregularidade. </w:t>
      </w:r>
    </w:p>
    <w:p w:rsidR="00484CA4" w:rsidRDefault="00484CA4" w:rsidP="00484CA4">
      <w:pPr>
        <w:autoSpaceDE w:val="0"/>
        <w:autoSpaceDN w:val="0"/>
        <w:adjustRightInd w:val="0"/>
        <w:spacing w:after="0"/>
        <w:jc w:val="both"/>
        <w:rPr>
          <w:rFonts w:ascii="Arial" w:hAnsi="Arial" w:cs="Arial"/>
          <w:sz w:val="20"/>
          <w:szCs w:val="20"/>
        </w:rPr>
      </w:pPr>
    </w:p>
    <w:p w:rsidR="00830BDE" w:rsidRDefault="00830BDE" w:rsidP="00484CA4">
      <w:pPr>
        <w:autoSpaceDE w:val="0"/>
        <w:autoSpaceDN w:val="0"/>
        <w:adjustRightInd w:val="0"/>
        <w:spacing w:after="0"/>
        <w:jc w:val="both"/>
        <w:rPr>
          <w:rFonts w:ascii="Arial" w:hAnsi="Arial" w:cs="Arial"/>
          <w:sz w:val="20"/>
          <w:szCs w:val="20"/>
        </w:rPr>
      </w:pPr>
      <w:r>
        <w:rPr>
          <w:rFonts w:ascii="Arial" w:hAnsi="Arial" w:cs="Arial"/>
          <w:sz w:val="20"/>
          <w:szCs w:val="20"/>
        </w:rPr>
        <w:t xml:space="preserve">Os gastos intitulados como de utilidade pública pelo gestor, versam sobre despesas de publicidade vedadas no período eleitoral. “Não vislumbro o interesse público na divulgação com carro de som anunciando vagas de emprego, matrículas escolares, entrega de uniforme escolar, evento público de réveillon, comemoração do aniversário do município, entrega de pá carregadeira, entrega de caminhão”, foi a conclusão do relator em sua proposta de voto. </w:t>
      </w:r>
    </w:p>
    <w:p w:rsidR="00830BDE" w:rsidRDefault="00830BDE" w:rsidP="00484CA4">
      <w:pPr>
        <w:autoSpaceDE w:val="0"/>
        <w:autoSpaceDN w:val="0"/>
        <w:adjustRightInd w:val="0"/>
        <w:spacing w:after="0"/>
        <w:jc w:val="both"/>
        <w:rPr>
          <w:rFonts w:ascii="Arial" w:hAnsi="Arial" w:cs="Arial"/>
          <w:sz w:val="20"/>
          <w:szCs w:val="20"/>
        </w:rPr>
      </w:pPr>
      <w:r>
        <w:rPr>
          <w:rFonts w:ascii="Arial" w:hAnsi="Arial" w:cs="Arial"/>
          <w:sz w:val="20"/>
          <w:szCs w:val="20"/>
        </w:rPr>
        <w:t xml:space="preserve">No primeiro semestre de 2016 os gastos com publicidade superaram a média de tais gastos dos primeiros semestres dos últimos três exercícios financeiros, valor que ultrapassa em 95% do limite estabelecido no art. 73, VII, da Lei nº 9.504/1997. </w:t>
      </w:r>
    </w:p>
    <w:p w:rsidR="00830BDE" w:rsidRDefault="00830BDE" w:rsidP="00484CA4">
      <w:pPr>
        <w:autoSpaceDE w:val="0"/>
        <w:autoSpaceDN w:val="0"/>
        <w:adjustRightInd w:val="0"/>
        <w:spacing w:after="0"/>
        <w:jc w:val="both"/>
        <w:rPr>
          <w:rFonts w:ascii="Arial" w:hAnsi="Arial" w:cs="Arial"/>
          <w:sz w:val="20"/>
          <w:szCs w:val="20"/>
        </w:rPr>
      </w:pPr>
      <w:r>
        <w:rPr>
          <w:rFonts w:ascii="Arial" w:hAnsi="Arial" w:cs="Arial"/>
          <w:sz w:val="20"/>
          <w:szCs w:val="20"/>
        </w:rPr>
        <w:t xml:space="preserve">Assim, por unanimidade, recomendou-se o julgamento pela irregularidade das contas. </w:t>
      </w:r>
    </w:p>
    <w:p w:rsidR="00484CA4" w:rsidRDefault="00484CA4" w:rsidP="00484CA4">
      <w:pPr>
        <w:spacing w:after="0"/>
        <w:jc w:val="both"/>
        <w:rPr>
          <w:rFonts w:ascii="Arial" w:hAnsi="Arial" w:cs="Arial"/>
          <w:sz w:val="20"/>
          <w:szCs w:val="20"/>
        </w:rPr>
      </w:pPr>
    </w:p>
    <w:p w:rsidR="00830BDE" w:rsidRDefault="00830BDE" w:rsidP="00484CA4">
      <w:pPr>
        <w:spacing w:after="0"/>
        <w:jc w:val="both"/>
        <w:rPr>
          <w:rFonts w:ascii="Arial" w:hAnsi="Arial" w:cs="Arial"/>
          <w:sz w:val="20"/>
          <w:szCs w:val="20"/>
        </w:rPr>
      </w:pPr>
      <w:r>
        <w:rPr>
          <w:rFonts w:ascii="Arial" w:hAnsi="Arial" w:cs="Arial"/>
          <w:sz w:val="20"/>
          <w:szCs w:val="20"/>
        </w:rPr>
        <w:t xml:space="preserve">Processo nº 299357/17 – </w:t>
      </w:r>
      <w:hyperlink r:id="rId11" w:history="1">
        <w:r w:rsidRPr="00E35609">
          <w:rPr>
            <w:rStyle w:val="Hyperlink"/>
            <w:rFonts w:ascii="Arial" w:hAnsi="Arial" w:cs="Arial"/>
            <w:sz w:val="20"/>
            <w:szCs w:val="20"/>
          </w:rPr>
          <w:t>Acórdã</w:t>
        </w:r>
        <w:r>
          <w:rPr>
            <w:rStyle w:val="Hyperlink"/>
            <w:rFonts w:ascii="Arial" w:hAnsi="Arial" w:cs="Arial"/>
            <w:sz w:val="20"/>
            <w:szCs w:val="20"/>
          </w:rPr>
          <w:t>o de Parecer Prévio nº 168/18 - Primeira</w:t>
        </w:r>
        <w:r w:rsidRPr="00E35609">
          <w:rPr>
            <w:rStyle w:val="Hyperlink"/>
            <w:rFonts w:ascii="Arial" w:hAnsi="Arial" w:cs="Arial"/>
            <w:sz w:val="20"/>
            <w:szCs w:val="20"/>
          </w:rPr>
          <w:t xml:space="preserve"> Câmara</w:t>
        </w:r>
      </w:hyperlink>
      <w:r>
        <w:rPr>
          <w:rFonts w:ascii="Arial" w:hAnsi="Arial" w:cs="Arial"/>
          <w:sz w:val="20"/>
          <w:szCs w:val="20"/>
        </w:rPr>
        <w:t xml:space="preserve"> – Relator Conselheiro Fabio de Souza Camargo. </w:t>
      </w:r>
    </w:p>
    <w:p w:rsidR="00484CA4" w:rsidRPr="003D4522" w:rsidRDefault="00484CA4" w:rsidP="00484CA4">
      <w:pPr>
        <w:spacing w:after="0"/>
        <w:jc w:val="both"/>
        <w:rPr>
          <w:rFonts w:ascii="Arial" w:hAnsi="Arial" w:cs="Arial"/>
          <w:sz w:val="20"/>
          <w:szCs w:val="20"/>
        </w:rPr>
      </w:pPr>
    </w:p>
    <w:p w:rsidR="00EC3842" w:rsidRPr="0022060B" w:rsidRDefault="00EC3842" w:rsidP="00484CA4">
      <w:pPr>
        <w:shd w:val="pct10" w:color="auto" w:fill="auto"/>
        <w:spacing w:after="120"/>
        <w:jc w:val="center"/>
        <w:rPr>
          <w:rFonts w:ascii="Arial" w:hAnsi="Arial" w:cs="Arial"/>
          <w:b/>
          <w:sz w:val="20"/>
          <w:szCs w:val="20"/>
        </w:rPr>
      </w:pPr>
      <w:r w:rsidRPr="0022060B">
        <w:rPr>
          <w:rFonts w:ascii="Arial" w:hAnsi="Arial" w:cs="Arial"/>
          <w:b/>
          <w:sz w:val="20"/>
          <w:szCs w:val="20"/>
        </w:rPr>
        <w:t>SEGUNDA CÂMARA</w:t>
      </w:r>
    </w:p>
    <w:p w:rsidR="00DC46BE" w:rsidRPr="00676A95" w:rsidRDefault="00830BDE" w:rsidP="00484CA4">
      <w:pPr>
        <w:autoSpaceDE w:val="0"/>
        <w:autoSpaceDN w:val="0"/>
        <w:adjustRightInd w:val="0"/>
        <w:spacing w:after="0"/>
        <w:jc w:val="both"/>
        <w:rPr>
          <w:rFonts w:ascii="Arial" w:hAnsi="Arial" w:cs="Arial"/>
          <w:b/>
          <w:sz w:val="20"/>
          <w:szCs w:val="20"/>
        </w:rPr>
      </w:pPr>
      <w:r>
        <w:rPr>
          <w:rFonts w:ascii="Arial" w:hAnsi="Arial" w:cs="Arial"/>
          <w:b/>
          <w:sz w:val="20"/>
          <w:szCs w:val="20"/>
        </w:rPr>
        <w:t xml:space="preserve">5. </w:t>
      </w:r>
      <w:r w:rsidR="00676A95" w:rsidRPr="00676A95">
        <w:rPr>
          <w:rFonts w:ascii="Arial" w:hAnsi="Arial" w:cs="Arial"/>
          <w:b/>
          <w:sz w:val="20"/>
          <w:szCs w:val="20"/>
        </w:rPr>
        <w:t>Prestação de contas anual. Envio de dados eletrônicos. Apresentação da prestação de contas. Atraso.</w:t>
      </w:r>
    </w:p>
    <w:p w:rsidR="00484CA4" w:rsidRDefault="00484CA4" w:rsidP="00484CA4">
      <w:pPr>
        <w:autoSpaceDE w:val="0"/>
        <w:autoSpaceDN w:val="0"/>
        <w:adjustRightInd w:val="0"/>
        <w:spacing w:after="0"/>
        <w:jc w:val="both"/>
        <w:rPr>
          <w:rFonts w:ascii="Arial" w:hAnsi="Arial" w:cs="Arial"/>
          <w:sz w:val="20"/>
          <w:szCs w:val="20"/>
        </w:rPr>
      </w:pPr>
    </w:p>
    <w:p w:rsidR="00DC46BE" w:rsidRDefault="00676A95" w:rsidP="00484CA4">
      <w:pPr>
        <w:autoSpaceDE w:val="0"/>
        <w:autoSpaceDN w:val="0"/>
        <w:adjustRightInd w:val="0"/>
        <w:spacing w:after="0"/>
        <w:jc w:val="both"/>
        <w:rPr>
          <w:rFonts w:ascii="Arial" w:hAnsi="Arial" w:cs="Arial"/>
          <w:sz w:val="20"/>
          <w:szCs w:val="20"/>
        </w:rPr>
      </w:pPr>
      <w:r w:rsidRPr="00676A95">
        <w:rPr>
          <w:rFonts w:ascii="Arial" w:hAnsi="Arial" w:cs="Arial"/>
          <w:sz w:val="20"/>
          <w:szCs w:val="20"/>
        </w:rPr>
        <w:t>No caso de atrasos sucessivos na remessa mensal dos dados eletrônicos do Sistema de Informações Municipais - Acompanhamento Mensal – SIM/AM, prevalece a aplicação de uma única multa em face dos atrasos, por aplicação da teoria da continuidade delitiva. Nesse sentido, este Tribunal tem entendido que, diante de infrações administrativas da mesma espécie é possível a aplicação de apenas uma sanção, conforme Acórdãos 316/18 e 4242/14, ambos do Tribunal Pleno, e o Acórdão n° 4636/16 da Segunda Câmara.</w:t>
      </w:r>
    </w:p>
    <w:p w:rsidR="00484CA4" w:rsidRDefault="00484CA4" w:rsidP="00484CA4">
      <w:pPr>
        <w:autoSpaceDE w:val="0"/>
        <w:autoSpaceDN w:val="0"/>
        <w:adjustRightInd w:val="0"/>
        <w:spacing w:after="0"/>
        <w:jc w:val="both"/>
        <w:rPr>
          <w:rFonts w:ascii="Arial" w:hAnsi="Arial" w:cs="Arial"/>
          <w:sz w:val="20"/>
          <w:szCs w:val="20"/>
        </w:rPr>
      </w:pPr>
    </w:p>
    <w:p w:rsidR="00A32C8E" w:rsidRDefault="00A32C8E" w:rsidP="00484CA4">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355346/17 - </w:t>
      </w:r>
      <w:hyperlink r:id="rId12" w:history="1">
        <w:r w:rsidRPr="008D55AA">
          <w:rPr>
            <w:rStyle w:val="Hyperlink"/>
            <w:rFonts w:ascii="Arial" w:hAnsi="Arial" w:cs="Arial"/>
            <w:sz w:val="20"/>
            <w:szCs w:val="20"/>
          </w:rPr>
          <w:t>Acórdão 1427/18 – Segunda Câmara</w:t>
        </w:r>
      </w:hyperlink>
      <w:r>
        <w:rPr>
          <w:rFonts w:ascii="Arial" w:hAnsi="Arial" w:cs="Arial"/>
          <w:sz w:val="20"/>
          <w:szCs w:val="20"/>
        </w:rPr>
        <w:t xml:space="preserve"> - Rel. I</w:t>
      </w:r>
      <w:r w:rsidRPr="00A32C8E">
        <w:rPr>
          <w:rFonts w:ascii="Arial" w:hAnsi="Arial" w:cs="Arial"/>
          <w:sz w:val="20"/>
          <w:szCs w:val="20"/>
        </w:rPr>
        <w:t xml:space="preserve">vens </w:t>
      </w:r>
      <w:proofErr w:type="spellStart"/>
      <w:r w:rsidRPr="00A32C8E">
        <w:rPr>
          <w:rFonts w:ascii="Arial" w:hAnsi="Arial" w:cs="Arial"/>
          <w:sz w:val="20"/>
          <w:szCs w:val="20"/>
        </w:rPr>
        <w:t>Zschoerper</w:t>
      </w:r>
      <w:proofErr w:type="spellEnd"/>
      <w:r w:rsidRPr="00A32C8E">
        <w:rPr>
          <w:rFonts w:ascii="Arial" w:hAnsi="Arial" w:cs="Arial"/>
          <w:sz w:val="20"/>
          <w:szCs w:val="20"/>
        </w:rPr>
        <w:t xml:space="preserve"> Linhares</w:t>
      </w:r>
      <w:r>
        <w:rPr>
          <w:rFonts w:ascii="Arial" w:hAnsi="Arial" w:cs="Arial"/>
          <w:sz w:val="20"/>
          <w:szCs w:val="20"/>
        </w:rPr>
        <w:t xml:space="preserve">.  </w:t>
      </w:r>
    </w:p>
    <w:p w:rsidR="00830BDE" w:rsidRDefault="00830BDE" w:rsidP="00484CA4">
      <w:pPr>
        <w:spacing w:after="0"/>
        <w:jc w:val="both"/>
        <w:rPr>
          <w:rFonts w:ascii="Arial" w:hAnsi="Arial" w:cs="Arial"/>
          <w:b/>
          <w:sz w:val="20"/>
          <w:szCs w:val="20"/>
        </w:rPr>
      </w:pPr>
    </w:p>
    <w:p w:rsidR="00830BDE" w:rsidRPr="00BB4F72" w:rsidRDefault="00830BDE" w:rsidP="00484CA4">
      <w:pPr>
        <w:autoSpaceDE w:val="0"/>
        <w:autoSpaceDN w:val="0"/>
        <w:adjustRightInd w:val="0"/>
        <w:spacing w:after="0"/>
        <w:jc w:val="both"/>
        <w:rPr>
          <w:rFonts w:ascii="Arial" w:hAnsi="Arial" w:cs="Arial"/>
          <w:b/>
          <w:sz w:val="20"/>
          <w:szCs w:val="20"/>
        </w:rPr>
      </w:pPr>
      <w:r>
        <w:rPr>
          <w:rFonts w:ascii="Arial" w:hAnsi="Arial" w:cs="Arial"/>
          <w:b/>
          <w:sz w:val="20"/>
          <w:szCs w:val="20"/>
        </w:rPr>
        <w:lastRenderedPageBreak/>
        <w:t xml:space="preserve">6. </w:t>
      </w:r>
      <w:r w:rsidRPr="00BB4F72">
        <w:rPr>
          <w:rFonts w:ascii="Arial" w:hAnsi="Arial" w:cs="Arial"/>
          <w:b/>
          <w:sz w:val="20"/>
          <w:szCs w:val="20"/>
        </w:rPr>
        <w:t xml:space="preserve">Prestação de contas. Consórcio intermunicipal de saúde. Dados do Sistema SIM-AM. Atraso que não prejudica as funções de controle desta Corte de Contas. Regularidade. </w:t>
      </w:r>
    </w:p>
    <w:p w:rsidR="00484CA4" w:rsidRDefault="00484CA4" w:rsidP="00484CA4">
      <w:pPr>
        <w:autoSpaceDE w:val="0"/>
        <w:autoSpaceDN w:val="0"/>
        <w:adjustRightInd w:val="0"/>
        <w:spacing w:after="0"/>
        <w:jc w:val="both"/>
        <w:rPr>
          <w:rFonts w:ascii="Arial" w:hAnsi="Arial" w:cs="Arial"/>
          <w:sz w:val="20"/>
          <w:szCs w:val="20"/>
        </w:rPr>
      </w:pPr>
    </w:p>
    <w:p w:rsidR="00830BDE" w:rsidRDefault="00830BDE" w:rsidP="00484CA4">
      <w:pPr>
        <w:autoSpaceDE w:val="0"/>
        <w:autoSpaceDN w:val="0"/>
        <w:adjustRightInd w:val="0"/>
        <w:spacing w:after="0"/>
        <w:jc w:val="both"/>
        <w:rPr>
          <w:rFonts w:ascii="Arial" w:hAnsi="Arial" w:cs="Arial"/>
          <w:sz w:val="20"/>
          <w:szCs w:val="20"/>
        </w:rPr>
      </w:pPr>
      <w:r>
        <w:rPr>
          <w:rFonts w:ascii="Arial" w:hAnsi="Arial" w:cs="Arial"/>
          <w:sz w:val="20"/>
          <w:szCs w:val="20"/>
        </w:rPr>
        <w:t xml:space="preserve">Vislumbrada a entrega de dados do 6º bimestre do sistema SIM-AM com atraso.  “Conforme se observa dos autos, o prazo para entrega dos referidos dados, estabelecido na Instrução Normativa da Agenda de Obrigações, encerrou em 30.01.2013, no entanto, foram encaminhados em 27.04.2013, gerando um atraso de apenas 86 (oitenta e seis dias), não causando, em nossa opinião, prejuízo às funções de controle deste Tribunal de Contas”, aduziu o relator em sua proposta de voto. </w:t>
      </w:r>
    </w:p>
    <w:p w:rsidR="00484CA4" w:rsidRDefault="00484CA4" w:rsidP="00484CA4">
      <w:pPr>
        <w:autoSpaceDE w:val="0"/>
        <w:autoSpaceDN w:val="0"/>
        <w:adjustRightInd w:val="0"/>
        <w:spacing w:after="0"/>
        <w:jc w:val="both"/>
        <w:rPr>
          <w:rFonts w:ascii="Arial" w:hAnsi="Arial" w:cs="Arial"/>
          <w:sz w:val="20"/>
          <w:szCs w:val="20"/>
        </w:rPr>
      </w:pPr>
    </w:p>
    <w:p w:rsidR="00830BDE" w:rsidRDefault="00830BDE" w:rsidP="00484CA4">
      <w:pPr>
        <w:autoSpaceDE w:val="0"/>
        <w:autoSpaceDN w:val="0"/>
        <w:adjustRightInd w:val="0"/>
        <w:spacing w:after="0"/>
        <w:jc w:val="both"/>
        <w:rPr>
          <w:rFonts w:ascii="Arial" w:hAnsi="Arial" w:cs="Arial"/>
          <w:sz w:val="20"/>
          <w:szCs w:val="20"/>
        </w:rPr>
      </w:pPr>
      <w:r>
        <w:rPr>
          <w:rFonts w:ascii="Arial" w:hAnsi="Arial" w:cs="Arial"/>
          <w:sz w:val="20"/>
          <w:szCs w:val="20"/>
        </w:rPr>
        <w:t>Neste aspecto, as contas foram julgadas regulares, nos termos do art. 16, II, da Lei Complementar nº 113/2005.</w:t>
      </w:r>
    </w:p>
    <w:p w:rsidR="00484CA4" w:rsidRDefault="00484CA4" w:rsidP="00484CA4">
      <w:pPr>
        <w:spacing w:after="0"/>
        <w:jc w:val="both"/>
        <w:rPr>
          <w:rFonts w:ascii="Arial" w:hAnsi="Arial" w:cs="Arial"/>
          <w:sz w:val="20"/>
          <w:szCs w:val="20"/>
        </w:rPr>
      </w:pPr>
    </w:p>
    <w:p w:rsidR="00830BDE" w:rsidRDefault="00830BDE" w:rsidP="00484CA4">
      <w:pPr>
        <w:spacing w:after="0"/>
        <w:jc w:val="both"/>
        <w:rPr>
          <w:rFonts w:ascii="Arial" w:hAnsi="Arial" w:cs="Arial"/>
          <w:sz w:val="20"/>
          <w:szCs w:val="20"/>
        </w:rPr>
      </w:pPr>
      <w:r>
        <w:rPr>
          <w:rFonts w:ascii="Arial" w:hAnsi="Arial" w:cs="Arial"/>
          <w:sz w:val="20"/>
          <w:szCs w:val="20"/>
        </w:rPr>
        <w:t xml:space="preserve">Processo nº 262262/13 – </w:t>
      </w:r>
      <w:hyperlink r:id="rId13" w:history="1">
        <w:r w:rsidRPr="00BB4F72">
          <w:rPr>
            <w:rStyle w:val="Hyperlink"/>
            <w:rFonts w:ascii="Arial" w:hAnsi="Arial" w:cs="Arial"/>
            <w:sz w:val="20"/>
            <w:szCs w:val="20"/>
          </w:rPr>
          <w:t>Acórdão nº 1456/18</w:t>
        </w:r>
        <w:r w:rsidR="00484CA4">
          <w:rPr>
            <w:rStyle w:val="Hyperlink"/>
            <w:rFonts w:ascii="Arial" w:hAnsi="Arial" w:cs="Arial"/>
            <w:sz w:val="20"/>
            <w:szCs w:val="20"/>
          </w:rPr>
          <w:t xml:space="preserve"> </w:t>
        </w:r>
        <w:r w:rsidRPr="00BB4F72">
          <w:rPr>
            <w:rStyle w:val="Hyperlink"/>
            <w:rFonts w:ascii="Arial" w:hAnsi="Arial" w:cs="Arial"/>
            <w:sz w:val="20"/>
            <w:szCs w:val="20"/>
          </w:rPr>
          <w:t>-</w:t>
        </w:r>
        <w:r>
          <w:rPr>
            <w:rStyle w:val="Hyperlink"/>
            <w:rFonts w:ascii="Arial" w:hAnsi="Arial" w:cs="Arial"/>
            <w:sz w:val="20"/>
            <w:szCs w:val="20"/>
          </w:rPr>
          <w:t xml:space="preserve"> Segunda</w:t>
        </w:r>
        <w:r w:rsidRPr="00BB4F72">
          <w:rPr>
            <w:rStyle w:val="Hyperlink"/>
            <w:rFonts w:ascii="Arial" w:hAnsi="Arial" w:cs="Arial"/>
            <w:sz w:val="20"/>
            <w:szCs w:val="20"/>
          </w:rPr>
          <w:t xml:space="preserve"> Câmara</w:t>
        </w:r>
      </w:hyperlink>
      <w:r>
        <w:rPr>
          <w:rFonts w:ascii="Arial" w:hAnsi="Arial" w:cs="Arial"/>
          <w:sz w:val="20"/>
          <w:szCs w:val="20"/>
        </w:rPr>
        <w:t xml:space="preserve"> – Rel. Conselheiro </w:t>
      </w:r>
      <w:proofErr w:type="spellStart"/>
      <w:r>
        <w:rPr>
          <w:rFonts w:ascii="Arial" w:hAnsi="Arial" w:cs="Arial"/>
          <w:sz w:val="20"/>
          <w:szCs w:val="20"/>
        </w:rPr>
        <w:t>Artagão</w:t>
      </w:r>
      <w:proofErr w:type="spellEnd"/>
      <w:r>
        <w:rPr>
          <w:rFonts w:ascii="Arial" w:hAnsi="Arial" w:cs="Arial"/>
          <w:sz w:val="20"/>
          <w:szCs w:val="20"/>
        </w:rPr>
        <w:t xml:space="preserve"> de Mattos Leão. </w:t>
      </w:r>
    </w:p>
    <w:p w:rsidR="00830BDE" w:rsidRDefault="00830BDE" w:rsidP="00484CA4">
      <w:pPr>
        <w:spacing w:after="0"/>
        <w:jc w:val="both"/>
        <w:rPr>
          <w:rFonts w:ascii="Arial" w:hAnsi="Arial" w:cs="Arial"/>
          <w:sz w:val="20"/>
          <w:szCs w:val="20"/>
        </w:rPr>
      </w:pPr>
    </w:p>
    <w:p w:rsidR="00830BDE" w:rsidRPr="00832804" w:rsidRDefault="00830BDE" w:rsidP="00484CA4">
      <w:pPr>
        <w:autoSpaceDE w:val="0"/>
        <w:autoSpaceDN w:val="0"/>
        <w:adjustRightInd w:val="0"/>
        <w:spacing w:after="0"/>
        <w:jc w:val="both"/>
        <w:rPr>
          <w:rFonts w:ascii="Arial" w:hAnsi="Arial" w:cs="Arial"/>
          <w:b/>
          <w:sz w:val="20"/>
          <w:szCs w:val="20"/>
        </w:rPr>
      </w:pPr>
      <w:r>
        <w:rPr>
          <w:rFonts w:ascii="Arial" w:hAnsi="Arial" w:cs="Arial"/>
          <w:b/>
          <w:sz w:val="20"/>
          <w:szCs w:val="20"/>
        </w:rPr>
        <w:t xml:space="preserve">7. </w:t>
      </w:r>
      <w:r w:rsidRPr="00832804">
        <w:rPr>
          <w:rFonts w:ascii="Arial" w:hAnsi="Arial" w:cs="Arial"/>
          <w:b/>
          <w:sz w:val="20"/>
          <w:szCs w:val="20"/>
        </w:rPr>
        <w:t xml:space="preserve">Prestação de Contas. Transferência voluntária. Despesas a título de taxas administrativas. Caráter indenizatório não demonstrado. Irregularidade e aplicação de multa. </w:t>
      </w:r>
    </w:p>
    <w:p w:rsidR="00484CA4" w:rsidRDefault="00484CA4" w:rsidP="00484CA4">
      <w:pPr>
        <w:autoSpaceDE w:val="0"/>
        <w:autoSpaceDN w:val="0"/>
        <w:adjustRightInd w:val="0"/>
        <w:spacing w:after="0"/>
        <w:jc w:val="both"/>
        <w:rPr>
          <w:rFonts w:ascii="Arial" w:hAnsi="Arial" w:cs="Arial"/>
          <w:sz w:val="20"/>
          <w:szCs w:val="20"/>
        </w:rPr>
      </w:pPr>
    </w:p>
    <w:p w:rsidR="00830BDE" w:rsidRDefault="00830BDE" w:rsidP="00484CA4">
      <w:pPr>
        <w:autoSpaceDE w:val="0"/>
        <w:autoSpaceDN w:val="0"/>
        <w:adjustRightInd w:val="0"/>
        <w:spacing w:after="0"/>
        <w:jc w:val="both"/>
        <w:rPr>
          <w:rFonts w:ascii="Arial" w:hAnsi="Arial" w:cs="Arial"/>
          <w:sz w:val="20"/>
          <w:szCs w:val="20"/>
        </w:rPr>
      </w:pPr>
      <w:r>
        <w:rPr>
          <w:rFonts w:ascii="Arial" w:hAnsi="Arial" w:cs="Arial"/>
          <w:sz w:val="20"/>
          <w:szCs w:val="20"/>
        </w:rPr>
        <w:t xml:space="preserve">Repasse de recursos públicos destinados a implantar, operacionalizar e executar, projeto para inclusão social. Verificou-se que custos operacionais que poderiam justificar a taxa de administração efetuada, não foram demonstrados na prestação de contas. </w:t>
      </w:r>
    </w:p>
    <w:p w:rsidR="00830BDE" w:rsidRDefault="00830BDE" w:rsidP="00484CA4">
      <w:pPr>
        <w:autoSpaceDE w:val="0"/>
        <w:autoSpaceDN w:val="0"/>
        <w:adjustRightInd w:val="0"/>
        <w:spacing w:after="0"/>
        <w:jc w:val="both"/>
        <w:rPr>
          <w:rFonts w:ascii="Arial" w:hAnsi="Arial" w:cs="Arial"/>
          <w:sz w:val="20"/>
          <w:szCs w:val="20"/>
        </w:rPr>
      </w:pPr>
      <w:r>
        <w:rPr>
          <w:rFonts w:ascii="Arial" w:hAnsi="Arial" w:cs="Arial"/>
          <w:sz w:val="20"/>
          <w:szCs w:val="20"/>
        </w:rPr>
        <w:t xml:space="preserve">Os interessados em nenhum momento comprovaram a vinculação dessas despesas com o objeto da parceria e nem sequer demonstraram quanto cada parceria mantida, representava no total dispendido com custos administrativos. </w:t>
      </w:r>
    </w:p>
    <w:p w:rsidR="00484CA4" w:rsidRDefault="00484CA4" w:rsidP="00484CA4">
      <w:pPr>
        <w:autoSpaceDE w:val="0"/>
        <w:autoSpaceDN w:val="0"/>
        <w:adjustRightInd w:val="0"/>
        <w:spacing w:after="0"/>
        <w:jc w:val="both"/>
        <w:rPr>
          <w:rFonts w:ascii="Arial" w:hAnsi="Arial" w:cs="Arial"/>
          <w:sz w:val="20"/>
          <w:szCs w:val="20"/>
        </w:rPr>
      </w:pPr>
    </w:p>
    <w:p w:rsidR="00830BDE" w:rsidRDefault="00830BDE" w:rsidP="00484CA4">
      <w:pPr>
        <w:autoSpaceDE w:val="0"/>
        <w:autoSpaceDN w:val="0"/>
        <w:adjustRightInd w:val="0"/>
        <w:spacing w:after="0"/>
        <w:jc w:val="both"/>
        <w:rPr>
          <w:rFonts w:ascii="Arial" w:hAnsi="Arial" w:cs="Arial"/>
          <w:sz w:val="20"/>
          <w:szCs w:val="20"/>
        </w:rPr>
      </w:pPr>
      <w:r>
        <w:rPr>
          <w:rFonts w:ascii="Arial" w:hAnsi="Arial" w:cs="Arial"/>
          <w:sz w:val="20"/>
          <w:szCs w:val="20"/>
        </w:rPr>
        <w:t xml:space="preserve">No julgado restou consignado que a irregularidade em tela atrai a aplicação da multa proporcional ao dano, prevista no artigo 89, § 1º, I, da Lei Orgânica, tendo sido arbitrada em 30% do valor do prejuízo, vez que a não comprovação dos valores constitui evidente afronta ao dever de prestar contas, previsto no art. 70, Parágrafo Único, da Constituição Federal. </w:t>
      </w:r>
    </w:p>
    <w:p w:rsidR="00484CA4" w:rsidRDefault="00484CA4" w:rsidP="00484CA4">
      <w:pPr>
        <w:autoSpaceDE w:val="0"/>
        <w:autoSpaceDN w:val="0"/>
        <w:adjustRightInd w:val="0"/>
        <w:spacing w:after="0"/>
        <w:jc w:val="both"/>
        <w:rPr>
          <w:rFonts w:ascii="Arial" w:hAnsi="Arial" w:cs="Arial"/>
          <w:sz w:val="20"/>
          <w:szCs w:val="20"/>
        </w:rPr>
      </w:pPr>
    </w:p>
    <w:p w:rsidR="00830BDE" w:rsidRDefault="00830BDE" w:rsidP="00484CA4">
      <w:pPr>
        <w:autoSpaceDE w:val="0"/>
        <w:autoSpaceDN w:val="0"/>
        <w:adjustRightInd w:val="0"/>
        <w:spacing w:after="0"/>
        <w:jc w:val="both"/>
        <w:rPr>
          <w:rFonts w:ascii="Arial" w:hAnsi="Arial" w:cs="Arial"/>
          <w:sz w:val="20"/>
          <w:szCs w:val="20"/>
        </w:rPr>
      </w:pPr>
      <w:r>
        <w:rPr>
          <w:rFonts w:ascii="Arial" w:hAnsi="Arial" w:cs="Arial"/>
          <w:sz w:val="20"/>
          <w:szCs w:val="20"/>
        </w:rPr>
        <w:t xml:space="preserve">Esta, entre outras, foram determinantes para a irregularidade das contas do Município, além da imputação da multa na forma acima aludida. </w:t>
      </w:r>
    </w:p>
    <w:p w:rsidR="00830BDE" w:rsidRDefault="00830BDE" w:rsidP="00484CA4">
      <w:pPr>
        <w:spacing w:after="0"/>
        <w:jc w:val="both"/>
        <w:rPr>
          <w:rFonts w:ascii="Arial" w:hAnsi="Arial" w:cs="Arial"/>
          <w:sz w:val="20"/>
          <w:szCs w:val="20"/>
        </w:rPr>
      </w:pPr>
      <w:r>
        <w:rPr>
          <w:rFonts w:ascii="Arial" w:hAnsi="Arial" w:cs="Arial"/>
          <w:sz w:val="20"/>
          <w:szCs w:val="20"/>
        </w:rPr>
        <w:t xml:space="preserve">Processo nº 77582/10 </w:t>
      </w:r>
      <w:hyperlink r:id="rId14" w:history="1">
        <w:r w:rsidRPr="00832804">
          <w:rPr>
            <w:rStyle w:val="Hyperlink"/>
            <w:rFonts w:ascii="Arial" w:hAnsi="Arial" w:cs="Arial"/>
            <w:sz w:val="20"/>
            <w:szCs w:val="20"/>
          </w:rPr>
          <w:t>– Acórdão nº 1460/18-</w:t>
        </w:r>
        <w:r>
          <w:rPr>
            <w:rStyle w:val="Hyperlink"/>
            <w:rFonts w:ascii="Arial" w:hAnsi="Arial" w:cs="Arial"/>
            <w:sz w:val="20"/>
            <w:szCs w:val="20"/>
          </w:rPr>
          <w:t xml:space="preserve"> Segunda</w:t>
        </w:r>
        <w:r w:rsidRPr="00832804">
          <w:rPr>
            <w:rStyle w:val="Hyperlink"/>
            <w:rFonts w:ascii="Arial" w:hAnsi="Arial" w:cs="Arial"/>
            <w:sz w:val="20"/>
            <w:szCs w:val="20"/>
          </w:rPr>
          <w:t xml:space="preserve"> Câmara</w:t>
        </w:r>
      </w:hyperlink>
      <w:r>
        <w:rPr>
          <w:rFonts w:ascii="Arial" w:hAnsi="Arial" w:cs="Arial"/>
          <w:sz w:val="20"/>
          <w:szCs w:val="20"/>
        </w:rPr>
        <w:t xml:space="preserve"> – Relator Conselheiro Ivan </w:t>
      </w:r>
      <w:proofErr w:type="spellStart"/>
      <w:r>
        <w:rPr>
          <w:rFonts w:ascii="Arial" w:hAnsi="Arial" w:cs="Arial"/>
          <w:sz w:val="20"/>
          <w:szCs w:val="20"/>
        </w:rPr>
        <w:t>Lelis</w:t>
      </w:r>
      <w:proofErr w:type="spellEnd"/>
      <w:r>
        <w:rPr>
          <w:rFonts w:ascii="Arial" w:hAnsi="Arial" w:cs="Arial"/>
          <w:sz w:val="20"/>
          <w:szCs w:val="20"/>
        </w:rPr>
        <w:t xml:space="preserve"> Bonilha. </w:t>
      </w:r>
    </w:p>
    <w:p w:rsidR="00484CA4" w:rsidRDefault="00484CA4" w:rsidP="00484CA4">
      <w:pPr>
        <w:spacing w:after="0"/>
        <w:jc w:val="both"/>
        <w:rPr>
          <w:rFonts w:ascii="Arial" w:hAnsi="Arial" w:cs="Arial"/>
          <w:sz w:val="20"/>
          <w:szCs w:val="20"/>
        </w:rPr>
      </w:pPr>
    </w:p>
    <w:p w:rsidR="00AE4F42" w:rsidRPr="0022060B" w:rsidRDefault="00AE4F42" w:rsidP="00484CA4">
      <w:pPr>
        <w:shd w:val="pct10" w:color="auto" w:fill="auto"/>
        <w:spacing w:after="120"/>
        <w:jc w:val="center"/>
        <w:rPr>
          <w:rFonts w:ascii="Arial" w:hAnsi="Arial" w:cs="Arial"/>
          <w:b/>
          <w:sz w:val="20"/>
          <w:szCs w:val="20"/>
        </w:rPr>
      </w:pPr>
      <w:r w:rsidRPr="0022060B">
        <w:rPr>
          <w:rFonts w:ascii="Arial" w:hAnsi="Arial" w:cs="Arial"/>
          <w:b/>
          <w:sz w:val="20"/>
          <w:szCs w:val="20"/>
        </w:rPr>
        <w:t>TRIBUNAL PLENO</w:t>
      </w:r>
    </w:p>
    <w:p w:rsidR="0026510B" w:rsidRDefault="00830BDE" w:rsidP="00484CA4">
      <w:pPr>
        <w:autoSpaceDE w:val="0"/>
        <w:autoSpaceDN w:val="0"/>
        <w:adjustRightInd w:val="0"/>
        <w:spacing w:after="0"/>
        <w:jc w:val="both"/>
        <w:rPr>
          <w:rFonts w:ascii="Arial" w:hAnsi="Arial" w:cs="Arial"/>
          <w:b/>
          <w:sz w:val="20"/>
          <w:szCs w:val="20"/>
        </w:rPr>
      </w:pPr>
      <w:r>
        <w:rPr>
          <w:rFonts w:ascii="Arial" w:hAnsi="Arial" w:cs="Arial"/>
          <w:b/>
          <w:sz w:val="20"/>
          <w:szCs w:val="20"/>
        </w:rPr>
        <w:t xml:space="preserve">8. </w:t>
      </w:r>
      <w:r w:rsidR="007334A2" w:rsidRPr="007334A2">
        <w:rPr>
          <w:rFonts w:ascii="Arial" w:hAnsi="Arial" w:cs="Arial"/>
          <w:b/>
          <w:sz w:val="20"/>
          <w:szCs w:val="20"/>
        </w:rPr>
        <w:t xml:space="preserve">Consulta. </w:t>
      </w:r>
      <w:r w:rsidR="007334A2">
        <w:rPr>
          <w:rFonts w:ascii="Arial" w:hAnsi="Arial" w:cs="Arial"/>
          <w:b/>
          <w:sz w:val="20"/>
          <w:szCs w:val="20"/>
        </w:rPr>
        <w:t>D</w:t>
      </w:r>
      <w:r w:rsidR="007334A2" w:rsidRPr="007334A2">
        <w:rPr>
          <w:rFonts w:ascii="Arial" w:hAnsi="Arial" w:cs="Arial"/>
          <w:b/>
          <w:sz w:val="20"/>
          <w:szCs w:val="20"/>
        </w:rPr>
        <w:t>evolução mensal e de valores fixos do saldo em caixa</w:t>
      </w:r>
      <w:r w:rsidR="007334A2">
        <w:rPr>
          <w:rFonts w:ascii="Arial" w:hAnsi="Arial" w:cs="Arial"/>
          <w:b/>
          <w:sz w:val="20"/>
          <w:szCs w:val="20"/>
        </w:rPr>
        <w:t>. V</w:t>
      </w:r>
      <w:r w:rsidR="007334A2" w:rsidRPr="007334A2">
        <w:rPr>
          <w:rFonts w:ascii="Arial" w:hAnsi="Arial" w:cs="Arial"/>
          <w:b/>
          <w:sz w:val="20"/>
          <w:szCs w:val="20"/>
        </w:rPr>
        <w:t>inculação da devolução dos recursos</w:t>
      </w:r>
      <w:r w:rsidR="007334A2">
        <w:rPr>
          <w:rFonts w:ascii="Arial" w:hAnsi="Arial" w:cs="Arial"/>
          <w:b/>
          <w:sz w:val="20"/>
          <w:szCs w:val="20"/>
        </w:rPr>
        <w:t>. A</w:t>
      </w:r>
      <w:r w:rsidR="007334A2" w:rsidRPr="007334A2">
        <w:rPr>
          <w:rFonts w:ascii="Arial" w:hAnsi="Arial" w:cs="Arial"/>
          <w:b/>
          <w:sz w:val="20"/>
          <w:szCs w:val="20"/>
        </w:rPr>
        <w:t>tendimento de projeto ou objetivo específico.</w:t>
      </w:r>
      <w:r w:rsidR="007334A2">
        <w:rPr>
          <w:rFonts w:ascii="Arial" w:hAnsi="Arial" w:cs="Arial"/>
          <w:b/>
          <w:sz w:val="20"/>
          <w:szCs w:val="20"/>
        </w:rPr>
        <w:t xml:space="preserve"> Impossibilidade.</w:t>
      </w:r>
    </w:p>
    <w:p w:rsidR="007334A2" w:rsidRPr="00484CA4" w:rsidRDefault="007334A2" w:rsidP="00484CA4">
      <w:pPr>
        <w:autoSpaceDE w:val="0"/>
        <w:autoSpaceDN w:val="0"/>
        <w:adjustRightInd w:val="0"/>
        <w:spacing w:after="0"/>
        <w:rPr>
          <w:rFonts w:ascii="Arial" w:hAnsi="Arial" w:cs="Arial"/>
          <w:sz w:val="20"/>
          <w:szCs w:val="24"/>
        </w:rPr>
      </w:pPr>
    </w:p>
    <w:p w:rsidR="007334A2" w:rsidRPr="00484CA4" w:rsidRDefault="007334A2" w:rsidP="00484CA4">
      <w:pPr>
        <w:autoSpaceDE w:val="0"/>
        <w:autoSpaceDN w:val="0"/>
        <w:adjustRightInd w:val="0"/>
        <w:spacing w:after="0"/>
        <w:jc w:val="both"/>
        <w:rPr>
          <w:rFonts w:ascii="Arial" w:hAnsi="Arial" w:cs="Arial"/>
          <w:sz w:val="20"/>
          <w:szCs w:val="20"/>
        </w:rPr>
      </w:pPr>
      <w:r w:rsidRPr="007334A2">
        <w:rPr>
          <w:rFonts w:ascii="Arial" w:hAnsi="Arial" w:cs="Arial"/>
          <w:sz w:val="20"/>
          <w:szCs w:val="20"/>
        </w:rPr>
        <w:lastRenderedPageBreak/>
        <w:t>Impossibilidade</w:t>
      </w:r>
      <w:r>
        <w:rPr>
          <w:rFonts w:ascii="Arial" w:hAnsi="Arial" w:cs="Arial"/>
          <w:sz w:val="20"/>
          <w:szCs w:val="20"/>
        </w:rPr>
        <w:t xml:space="preserve"> </w:t>
      </w:r>
      <w:r w:rsidRPr="007334A2">
        <w:rPr>
          <w:rFonts w:ascii="Arial" w:hAnsi="Arial" w:cs="Arial"/>
          <w:sz w:val="20"/>
          <w:szCs w:val="20"/>
        </w:rPr>
        <w:t>de devolução mensal e de valores fixos do saldo em caixa ao Município,</w:t>
      </w:r>
      <w:r>
        <w:rPr>
          <w:rFonts w:ascii="Arial" w:hAnsi="Arial" w:cs="Arial"/>
          <w:sz w:val="20"/>
          <w:szCs w:val="20"/>
        </w:rPr>
        <w:t xml:space="preserve"> </w:t>
      </w:r>
      <w:r w:rsidRPr="007334A2">
        <w:rPr>
          <w:rFonts w:ascii="Arial" w:hAnsi="Arial" w:cs="Arial"/>
          <w:sz w:val="20"/>
          <w:szCs w:val="20"/>
        </w:rPr>
        <w:t>tampouco a vinculação da devolução dos recursos a atendimento de projeto ou objetivo específico.</w:t>
      </w:r>
    </w:p>
    <w:p w:rsidR="007334A2" w:rsidRDefault="007334A2" w:rsidP="00484CA4">
      <w:pPr>
        <w:autoSpaceDE w:val="0"/>
        <w:autoSpaceDN w:val="0"/>
        <w:adjustRightInd w:val="0"/>
        <w:spacing w:after="0"/>
        <w:jc w:val="both"/>
        <w:rPr>
          <w:rFonts w:ascii="Arial" w:hAnsi="Arial" w:cs="Arial"/>
          <w:color w:val="000000"/>
          <w:sz w:val="20"/>
          <w:szCs w:val="20"/>
          <w:shd w:val="clear" w:color="auto" w:fill="FFFFFF"/>
        </w:rPr>
      </w:pPr>
    </w:p>
    <w:p w:rsidR="007334A2" w:rsidRDefault="007334A2" w:rsidP="00484CA4">
      <w:pPr>
        <w:autoSpaceDE w:val="0"/>
        <w:autoSpaceDN w:val="0"/>
        <w:adjustRightInd w:val="0"/>
        <w:spacing w:after="0"/>
        <w:jc w:val="both"/>
        <w:rPr>
          <w:rFonts w:ascii="Arial" w:hAnsi="Arial" w:cs="Arial"/>
          <w:color w:val="000000"/>
          <w:sz w:val="20"/>
          <w:szCs w:val="20"/>
          <w:shd w:val="clear" w:color="auto" w:fill="FFFFFF"/>
        </w:rPr>
      </w:pPr>
      <w:r w:rsidRPr="00484CA4">
        <w:rPr>
          <w:rFonts w:ascii="Arial" w:hAnsi="Arial" w:cs="Arial"/>
          <w:sz w:val="20"/>
          <w:szCs w:val="20"/>
        </w:rPr>
        <w:t>Processo n° 111218/17</w:t>
      </w:r>
      <w:r>
        <w:rPr>
          <w:rFonts w:ascii="Arial" w:hAnsi="Arial" w:cs="Arial"/>
          <w:color w:val="000000"/>
          <w:sz w:val="20"/>
          <w:szCs w:val="20"/>
          <w:shd w:val="clear" w:color="auto" w:fill="FFFFFF"/>
        </w:rPr>
        <w:t xml:space="preserve"> </w:t>
      </w:r>
      <w:r w:rsidR="00D627D0">
        <w:rPr>
          <w:rFonts w:ascii="Arial" w:hAnsi="Arial" w:cs="Arial"/>
          <w:color w:val="000000"/>
          <w:sz w:val="20"/>
          <w:szCs w:val="20"/>
          <w:shd w:val="clear" w:color="auto" w:fill="FFFFFF"/>
        </w:rPr>
        <w:t>-</w:t>
      </w:r>
      <w:r>
        <w:rPr>
          <w:rFonts w:ascii="Arial" w:hAnsi="Arial" w:cs="Arial"/>
          <w:color w:val="000000"/>
          <w:sz w:val="20"/>
          <w:szCs w:val="20"/>
          <w:shd w:val="clear" w:color="auto" w:fill="FFFFFF"/>
        </w:rPr>
        <w:t xml:space="preserve"> </w:t>
      </w:r>
      <w:hyperlink r:id="rId15" w:history="1">
        <w:r w:rsidR="00D627D0" w:rsidRPr="00107CDE">
          <w:rPr>
            <w:rStyle w:val="Hyperlink"/>
            <w:rFonts w:ascii="Arial" w:hAnsi="Arial" w:cs="Arial"/>
            <w:sz w:val="20"/>
            <w:szCs w:val="20"/>
            <w:shd w:val="clear" w:color="auto" w:fill="FFFFFF"/>
          </w:rPr>
          <w:t>Acórdão n° 1486/18 - Tribunal Pleno</w:t>
        </w:r>
      </w:hyperlink>
      <w:r w:rsidR="00D627D0">
        <w:rPr>
          <w:rFonts w:ascii="Arial" w:hAnsi="Arial" w:cs="Arial"/>
          <w:color w:val="000000"/>
          <w:sz w:val="20"/>
          <w:szCs w:val="20"/>
          <w:shd w:val="clear" w:color="auto" w:fill="FFFFFF"/>
        </w:rPr>
        <w:t xml:space="preserve"> - </w:t>
      </w:r>
      <w:r w:rsidR="00D627D0" w:rsidRPr="00484CA4">
        <w:rPr>
          <w:rFonts w:ascii="Arial" w:hAnsi="Arial" w:cs="Arial"/>
          <w:sz w:val="20"/>
          <w:szCs w:val="20"/>
        </w:rPr>
        <w:t xml:space="preserve">Rel. Conselheiro Nestor Baptista. </w:t>
      </w:r>
      <w:r w:rsidRPr="00484CA4">
        <w:rPr>
          <w:rFonts w:ascii="Arial" w:hAnsi="Arial" w:cs="Arial"/>
          <w:sz w:val="20"/>
          <w:szCs w:val="20"/>
        </w:rPr>
        <w:t xml:space="preserve"> </w:t>
      </w:r>
    </w:p>
    <w:p w:rsidR="007334A2" w:rsidRDefault="007334A2" w:rsidP="00484CA4">
      <w:pPr>
        <w:autoSpaceDE w:val="0"/>
        <w:autoSpaceDN w:val="0"/>
        <w:adjustRightInd w:val="0"/>
        <w:spacing w:after="0"/>
        <w:jc w:val="both"/>
        <w:rPr>
          <w:rFonts w:ascii="Arial" w:hAnsi="Arial" w:cs="Arial"/>
          <w:color w:val="000000"/>
          <w:sz w:val="20"/>
          <w:szCs w:val="20"/>
          <w:shd w:val="clear" w:color="auto" w:fill="FFFFFF"/>
        </w:rPr>
      </w:pPr>
    </w:p>
    <w:p w:rsidR="00495B75" w:rsidRDefault="00830BDE" w:rsidP="00484CA4">
      <w:pPr>
        <w:autoSpaceDE w:val="0"/>
        <w:autoSpaceDN w:val="0"/>
        <w:adjustRightInd w:val="0"/>
        <w:spacing w:after="0"/>
        <w:jc w:val="both"/>
        <w:rPr>
          <w:rFonts w:ascii="Arial" w:hAnsi="Arial" w:cs="Arial"/>
          <w:b/>
          <w:sz w:val="20"/>
          <w:szCs w:val="20"/>
        </w:rPr>
      </w:pPr>
      <w:r>
        <w:rPr>
          <w:rFonts w:ascii="Arial" w:hAnsi="Arial" w:cs="Arial"/>
          <w:b/>
          <w:sz w:val="20"/>
          <w:szCs w:val="20"/>
        </w:rPr>
        <w:t xml:space="preserve">9. </w:t>
      </w:r>
      <w:r w:rsidR="00495B75" w:rsidRPr="00495B75">
        <w:rPr>
          <w:rFonts w:ascii="Arial" w:hAnsi="Arial" w:cs="Arial"/>
          <w:b/>
          <w:sz w:val="20"/>
          <w:szCs w:val="20"/>
        </w:rPr>
        <w:t>Representação. Contratação por interposta pessoa. Ofensa ao artigo 37, inciso II, da C</w:t>
      </w:r>
      <w:r w:rsidR="0014442A">
        <w:rPr>
          <w:rFonts w:ascii="Arial" w:hAnsi="Arial" w:cs="Arial"/>
          <w:b/>
          <w:sz w:val="20"/>
          <w:szCs w:val="20"/>
        </w:rPr>
        <w:t xml:space="preserve">F/88. </w:t>
      </w:r>
      <w:r w:rsidR="00495B75" w:rsidRPr="00495B75">
        <w:rPr>
          <w:rFonts w:ascii="Arial" w:hAnsi="Arial" w:cs="Arial"/>
          <w:b/>
          <w:sz w:val="20"/>
          <w:szCs w:val="20"/>
        </w:rPr>
        <w:t>Irregularidade. Não imposição de sanção aos gestores. Fatos anteriores à vigência da Lei Complementar nº 113/05.</w:t>
      </w:r>
      <w:r w:rsidR="0014442A">
        <w:rPr>
          <w:rFonts w:ascii="Arial" w:hAnsi="Arial" w:cs="Arial"/>
          <w:b/>
          <w:sz w:val="20"/>
          <w:szCs w:val="20"/>
        </w:rPr>
        <w:t xml:space="preserve"> </w:t>
      </w:r>
      <w:r w:rsidR="0014442A" w:rsidRPr="0014442A">
        <w:rPr>
          <w:rFonts w:ascii="Arial" w:hAnsi="Arial" w:cs="Arial"/>
          <w:b/>
          <w:sz w:val="20"/>
          <w:szCs w:val="20"/>
        </w:rPr>
        <w:t>Lei nº 13.655, de 25 de abril de 2018</w:t>
      </w:r>
      <w:r w:rsidR="0014442A" w:rsidRPr="004A2925">
        <w:rPr>
          <w:rFonts w:ascii="Arial" w:hAnsi="Arial" w:cs="Arial"/>
          <w:b/>
          <w:sz w:val="20"/>
          <w:szCs w:val="20"/>
        </w:rPr>
        <w:t xml:space="preserve">. </w:t>
      </w:r>
      <w:r w:rsidR="0014442A" w:rsidRPr="00495B75">
        <w:rPr>
          <w:rFonts w:ascii="Arial" w:hAnsi="Arial" w:cs="Arial"/>
          <w:b/>
          <w:sz w:val="20"/>
          <w:szCs w:val="20"/>
        </w:rPr>
        <w:t>Precedentes desta Corte</w:t>
      </w:r>
      <w:r w:rsidR="0014442A">
        <w:rPr>
          <w:rFonts w:ascii="Arial" w:hAnsi="Arial" w:cs="Arial"/>
          <w:b/>
          <w:sz w:val="20"/>
          <w:szCs w:val="20"/>
        </w:rPr>
        <w:t>.</w:t>
      </w:r>
    </w:p>
    <w:p w:rsidR="00484CA4" w:rsidRDefault="00484CA4" w:rsidP="00484CA4">
      <w:pPr>
        <w:autoSpaceDE w:val="0"/>
        <w:autoSpaceDN w:val="0"/>
        <w:adjustRightInd w:val="0"/>
        <w:spacing w:after="0"/>
        <w:jc w:val="both"/>
        <w:rPr>
          <w:rFonts w:ascii="Arial" w:hAnsi="Arial" w:cs="Arial"/>
          <w:sz w:val="20"/>
          <w:szCs w:val="20"/>
        </w:rPr>
      </w:pPr>
    </w:p>
    <w:p w:rsidR="007334A2" w:rsidRDefault="00B76D60" w:rsidP="00484CA4">
      <w:pPr>
        <w:autoSpaceDE w:val="0"/>
        <w:autoSpaceDN w:val="0"/>
        <w:adjustRightInd w:val="0"/>
        <w:spacing w:after="0"/>
        <w:jc w:val="both"/>
        <w:rPr>
          <w:rFonts w:ascii="Arial" w:hAnsi="Arial" w:cs="Arial"/>
          <w:sz w:val="20"/>
          <w:szCs w:val="20"/>
        </w:rPr>
      </w:pPr>
      <w:r w:rsidRPr="00B76D60">
        <w:rPr>
          <w:rFonts w:ascii="Arial" w:hAnsi="Arial" w:cs="Arial"/>
          <w:sz w:val="20"/>
          <w:szCs w:val="20"/>
        </w:rPr>
        <w:t>Se</w:t>
      </w:r>
      <w:r>
        <w:rPr>
          <w:rFonts w:ascii="Arial" w:hAnsi="Arial" w:cs="Arial"/>
          <w:sz w:val="20"/>
          <w:szCs w:val="20"/>
        </w:rPr>
        <w:t xml:space="preserve"> </w:t>
      </w:r>
      <w:r w:rsidRPr="00B76D60">
        <w:rPr>
          <w:rFonts w:ascii="Arial" w:hAnsi="Arial" w:cs="Arial"/>
          <w:sz w:val="20"/>
          <w:szCs w:val="20"/>
        </w:rPr>
        <w:t>os serviços laborais foram efetivamente prestados à</w:t>
      </w:r>
      <w:r>
        <w:rPr>
          <w:rFonts w:ascii="Arial" w:hAnsi="Arial" w:cs="Arial"/>
          <w:sz w:val="20"/>
          <w:szCs w:val="20"/>
        </w:rPr>
        <w:t xml:space="preserve"> </w:t>
      </w:r>
      <w:r w:rsidRPr="00B76D60">
        <w:rPr>
          <w:rFonts w:ascii="Arial" w:hAnsi="Arial" w:cs="Arial"/>
          <w:sz w:val="20"/>
          <w:szCs w:val="20"/>
        </w:rPr>
        <w:t>municipalidade por quem teve seus direitos trabalhistas reconhecidos perante a</w:t>
      </w:r>
      <w:r>
        <w:rPr>
          <w:rFonts w:ascii="Arial" w:hAnsi="Arial" w:cs="Arial"/>
          <w:sz w:val="20"/>
          <w:szCs w:val="20"/>
        </w:rPr>
        <w:t xml:space="preserve"> </w:t>
      </w:r>
      <w:r w:rsidRPr="00B76D60">
        <w:rPr>
          <w:rFonts w:ascii="Arial" w:hAnsi="Arial" w:cs="Arial"/>
          <w:sz w:val="20"/>
          <w:szCs w:val="20"/>
        </w:rPr>
        <w:t>Justiça do Trabalho, não há que se cogitar de o gestor ressarcir o erário municipal</w:t>
      </w:r>
      <w:r>
        <w:rPr>
          <w:rFonts w:ascii="Arial" w:hAnsi="Arial" w:cs="Arial"/>
          <w:sz w:val="20"/>
          <w:szCs w:val="20"/>
        </w:rPr>
        <w:t xml:space="preserve"> </w:t>
      </w:r>
      <w:r w:rsidRPr="00B76D60">
        <w:rPr>
          <w:rFonts w:ascii="Arial" w:hAnsi="Arial" w:cs="Arial"/>
          <w:sz w:val="20"/>
          <w:szCs w:val="20"/>
        </w:rPr>
        <w:t>de valores que efetivamente são devidos àquele que laborou em favor da</w:t>
      </w:r>
      <w:r>
        <w:rPr>
          <w:rFonts w:ascii="Arial" w:hAnsi="Arial" w:cs="Arial"/>
          <w:sz w:val="20"/>
          <w:szCs w:val="20"/>
        </w:rPr>
        <w:t xml:space="preserve"> </w:t>
      </w:r>
      <w:r w:rsidRPr="00B76D60">
        <w:rPr>
          <w:rFonts w:ascii="Arial" w:hAnsi="Arial" w:cs="Arial"/>
          <w:sz w:val="20"/>
          <w:szCs w:val="20"/>
        </w:rPr>
        <w:t>Administração.</w:t>
      </w:r>
    </w:p>
    <w:p w:rsidR="0014442A" w:rsidRPr="00B76D60" w:rsidRDefault="0014442A" w:rsidP="00484CA4">
      <w:pPr>
        <w:autoSpaceDE w:val="0"/>
        <w:autoSpaceDN w:val="0"/>
        <w:adjustRightInd w:val="0"/>
        <w:spacing w:after="0"/>
        <w:jc w:val="both"/>
        <w:rPr>
          <w:rFonts w:ascii="Arial" w:hAnsi="Arial" w:cs="Arial"/>
          <w:sz w:val="20"/>
          <w:szCs w:val="20"/>
        </w:rPr>
      </w:pPr>
    </w:p>
    <w:p w:rsidR="00B76D60" w:rsidRDefault="005D4F1D" w:rsidP="00484CA4">
      <w:pPr>
        <w:autoSpaceDE w:val="0"/>
        <w:autoSpaceDN w:val="0"/>
        <w:adjustRightInd w:val="0"/>
        <w:spacing w:after="0"/>
        <w:jc w:val="both"/>
        <w:rPr>
          <w:rFonts w:ascii="Arial" w:hAnsi="Arial" w:cs="Arial"/>
          <w:sz w:val="20"/>
          <w:szCs w:val="20"/>
        </w:rPr>
      </w:pPr>
      <w:r w:rsidRPr="00B76D60">
        <w:rPr>
          <w:rFonts w:ascii="Arial" w:hAnsi="Arial" w:cs="Arial"/>
          <w:sz w:val="20"/>
          <w:szCs w:val="20"/>
        </w:rPr>
        <w:t>P</w:t>
      </w:r>
      <w:r w:rsidR="00B76D60" w:rsidRPr="00B76D60">
        <w:rPr>
          <w:rFonts w:ascii="Arial" w:hAnsi="Arial" w:cs="Arial"/>
          <w:sz w:val="20"/>
          <w:szCs w:val="20"/>
        </w:rPr>
        <w:t>ara</w:t>
      </w:r>
      <w:r>
        <w:rPr>
          <w:rFonts w:ascii="Arial" w:hAnsi="Arial" w:cs="Arial"/>
          <w:sz w:val="20"/>
          <w:szCs w:val="20"/>
        </w:rPr>
        <w:t xml:space="preserve"> </w:t>
      </w:r>
      <w:r w:rsidR="00B76D60" w:rsidRPr="00B76D60">
        <w:rPr>
          <w:rFonts w:ascii="Arial" w:hAnsi="Arial" w:cs="Arial"/>
          <w:sz w:val="20"/>
          <w:szCs w:val="20"/>
        </w:rPr>
        <w:t>que esta Corte cumpra os</w:t>
      </w:r>
      <w:r w:rsidR="00B76D60">
        <w:rPr>
          <w:rFonts w:ascii="Arial" w:hAnsi="Arial" w:cs="Arial"/>
          <w:sz w:val="20"/>
          <w:szCs w:val="20"/>
        </w:rPr>
        <w:t xml:space="preserve"> </w:t>
      </w:r>
      <w:r w:rsidR="00B76D60" w:rsidRPr="00B76D60">
        <w:rPr>
          <w:rFonts w:ascii="Arial" w:hAnsi="Arial" w:cs="Arial"/>
          <w:sz w:val="20"/>
          <w:szCs w:val="20"/>
        </w:rPr>
        <w:t xml:space="preserve">preceitos contidos no </w:t>
      </w:r>
      <w:r w:rsidR="00B76D60" w:rsidRPr="00B76D60">
        <w:rPr>
          <w:rFonts w:ascii="Arial" w:hAnsi="Arial" w:cs="Arial"/>
          <w:i/>
          <w:iCs/>
          <w:sz w:val="20"/>
          <w:szCs w:val="20"/>
        </w:rPr>
        <w:t xml:space="preserve">caput </w:t>
      </w:r>
      <w:r w:rsidR="00B76D60" w:rsidRPr="00B76D60">
        <w:rPr>
          <w:rFonts w:ascii="Arial" w:hAnsi="Arial" w:cs="Arial"/>
          <w:sz w:val="20"/>
          <w:szCs w:val="20"/>
        </w:rPr>
        <w:t>do artigo 30 da Lei de Introdução às Normas do Direito</w:t>
      </w:r>
      <w:r w:rsidR="00B76D60">
        <w:rPr>
          <w:rFonts w:ascii="Arial" w:hAnsi="Arial" w:cs="Arial"/>
          <w:sz w:val="20"/>
          <w:szCs w:val="20"/>
        </w:rPr>
        <w:t xml:space="preserve"> </w:t>
      </w:r>
      <w:r w:rsidR="00B76D60" w:rsidRPr="00B76D60">
        <w:rPr>
          <w:rFonts w:ascii="Arial" w:hAnsi="Arial" w:cs="Arial"/>
          <w:sz w:val="20"/>
          <w:szCs w:val="20"/>
        </w:rPr>
        <w:t>Brasileiro, introduzido recentemente pela Lei nº 13.655, de 25 de abril de 2018,</w:t>
      </w:r>
      <w:r w:rsidR="00B76D60">
        <w:rPr>
          <w:rFonts w:ascii="Arial" w:hAnsi="Arial" w:cs="Arial"/>
          <w:sz w:val="20"/>
          <w:szCs w:val="20"/>
        </w:rPr>
        <w:t xml:space="preserve"> </w:t>
      </w:r>
      <w:r w:rsidR="00B76D60" w:rsidRPr="00B76D60">
        <w:rPr>
          <w:rFonts w:ascii="Arial" w:hAnsi="Arial" w:cs="Arial"/>
          <w:sz w:val="20"/>
          <w:szCs w:val="20"/>
        </w:rPr>
        <w:t xml:space="preserve">segundo o qual </w:t>
      </w:r>
      <w:r w:rsidR="00B76D60">
        <w:rPr>
          <w:rFonts w:ascii="Arial" w:hAnsi="Arial" w:cs="Arial"/>
          <w:sz w:val="20"/>
          <w:szCs w:val="20"/>
        </w:rPr>
        <w:t>“</w:t>
      </w:r>
      <w:r w:rsidR="00B76D60" w:rsidRPr="00B76D60">
        <w:rPr>
          <w:rFonts w:ascii="Arial" w:hAnsi="Arial" w:cs="Arial"/>
          <w:i/>
          <w:sz w:val="20"/>
          <w:szCs w:val="20"/>
        </w:rPr>
        <w:t>a</w:t>
      </w:r>
      <w:r w:rsidR="00B76D60" w:rsidRPr="00B76D60">
        <w:rPr>
          <w:rFonts w:ascii="Arial" w:hAnsi="Arial" w:cs="Arial"/>
          <w:bCs/>
          <w:i/>
          <w:iCs/>
          <w:sz w:val="20"/>
          <w:szCs w:val="20"/>
        </w:rPr>
        <w:t>s autoridades públicas devem atuar para aumentar a segurança jurídica na aplicação das normas</w:t>
      </w:r>
      <w:r w:rsidR="00B76D60" w:rsidRPr="00B76D60">
        <w:rPr>
          <w:rFonts w:ascii="Arial" w:hAnsi="Arial" w:cs="Arial"/>
          <w:i/>
          <w:iCs/>
          <w:sz w:val="20"/>
          <w:szCs w:val="20"/>
        </w:rPr>
        <w:t>, inclusive por meio de regulamentos,</w:t>
      </w:r>
      <w:r>
        <w:rPr>
          <w:rFonts w:ascii="Arial" w:hAnsi="Arial" w:cs="Arial"/>
          <w:i/>
          <w:iCs/>
          <w:sz w:val="20"/>
          <w:szCs w:val="20"/>
        </w:rPr>
        <w:t xml:space="preserve"> </w:t>
      </w:r>
      <w:r w:rsidR="00B76D60" w:rsidRPr="00B76D60">
        <w:rPr>
          <w:rFonts w:ascii="Arial" w:hAnsi="Arial" w:cs="Arial"/>
          <w:i/>
          <w:iCs/>
          <w:sz w:val="20"/>
          <w:szCs w:val="20"/>
        </w:rPr>
        <w:t xml:space="preserve">súmulas administrativas e resposta a consultas”, </w:t>
      </w:r>
      <w:r w:rsidR="00B76D60" w:rsidRPr="00B76D60">
        <w:rPr>
          <w:rFonts w:ascii="Arial" w:hAnsi="Arial" w:cs="Arial"/>
          <w:sz w:val="20"/>
          <w:szCs w:val="20"/>
        </w:rPr>
        <w:t>bem como observe o que antes já</w:t>
      </w:r>
      <w:r w:rsidR="00B76D60">
        <w:rPr>
          <w:rFonts w:ascii="Arial" w:hAnsi="Arial" w:cs="Arial"/>
          <w:sz w:val="20"/>
          <w:szCs w:val="20"/>
        </w:rPr>
        <w:t xml:space="preserve"> </w:t>
      </w:r>
      <w:r w:rsidR="00B76D60" w:rsidRPr="00B76D60">
        <w:rPr>
          <w:rFonts w:ascii="Arial" w:hAnsi="Arial" w:cs="Arial"/>
          <w:sz w:val="20"/>
          <w:szCs w:val="20"/>
        </w:rPr>
        <w:t xml:space="preserve">normatizado no </w:t>
      </w:r>
      <w:r w:rsidR="00B76D60" w:rsidRPr="00B76D60">
        <w:rPr>
          <w:rFonts w:ascii="Arial" w:hAnsi="Arial" w:cs="Arial"/>
          <w:i/>
          <w:iCs/>
          <w:sz w:val="20"/>
          <w:szCs w:val="20"/>
        </w:rPr>
        <w:t xml:space="preserve">caput </w:t>
      </w:r>
      <w:r w:rsidR="00B76D60" w:rsidRPr="00B76D60">
        <w:rPr>
          <w:rFonts w:ascii="Arial" w:hAnsi="Arial" w:cs="Arial"/>
          <w:sz w:val="20"/>
          <w:szCs w:val="20"/>
        </w:rPr>
        <w:t xml:space="preserve">do artigo 926 do Código de Processo Civil, segundo o qual </w:t>
      </w:r>
      <w:r w:rsidR="00B76D60">
        <w:rPr>
          <w:rFonts w:ascii="Arial" w:hAnsi="Arial" w:cs="Arial"/>
          <w:sz w:val="20"/>
          <w:szCs w:val="20"/>
        </w:rPr>
        <w:t>“</w:t>
      </w:r>
      <w:r w:rsidR="00B76D60" w:rsidRPr="00B76D60">
        <w:rPr>
          <w:rFonts w:ascii="Arial" w:hAnsi="Arial" w:cs="Arial"/>
          <w:i/>
          <w:sz w:val="20"/>
          <w:szCs w:val="20"/>
        </w:rPr>
        <w:t>o</w:t>
      </w:r>
      <w:r w:rsidR="00B76D60" w:rsidRPr="00B76D60">
        <w:rPr>
          <w:rFonts w:ascii="Arial" w:hAnsi="Arial" w:cs="Arial"/>
          <w:i/>
          <w:iCs/>
          <w:sz w:val="20"/>
          <w:szCs w:val="20"/>
        </w:rPr>
        <w:t>s tribunais devem uniformizar sua jurisprudência e mantê-la estável, íntegra e coerente</w:t>
      </w:r>
      <w:r w:rsidR="00B76D60">
        <w:rPr>
          <w:rFonts w:ascii="Arial" w:hAnsi="Arial" w:cs="Arial"/>
          <w:i/>
          <w:iCs/>
          <w:sz w:val="20"/>
          <w:szCs w:val="20"/>
        </w:rPr>
        <w:t>”</w:t>
      </w:r>
      <w:r w:rsidR="00B76D60" w:rsidRPr="00B76D60">
        <w:rPr>
          <w:rFonts w:ascii="Arial" w:hAnsi="Arial" w:cs="Arial"/>
          <w:i/>
          <w:iCs/>
          <w:sz w:val="20"/>
          <w:szCs w:val="20"/>
        </w:rPr>
        <w:t xml:space="preserve">, </w:t>
      </w:r>
      <w:r w:rsidR="00B76D60" w:rsidRPr="00B76D60">
        <w:rPr>
          <w:rFonts w:ascii="Arial" w:hAnsi="Arial" w:cs="Arial"/>
          <w:sz w:val="20"/>
          <w:szCs w:val="20"/>
        </w:rPr>
        <w:t>a presente Representação deve ser julgada procedente e declaradas</w:t>
      </w:r>
      <w:r w:rsidR="00B76D60">
        <w:rPr>
          <w:rFonts w:ascii="Arial" w:hAnsi="Arial" w:cs="Arial"/>
          <w:sz w:val="20"/>
          <w:szCs w:val="20"/>
        </w:rPr>
        <w:t xml:space="preserve"> </w:t>
      </w:r>
      <w:r w:rsidR="00B76D60" w:rsidRPr="00B76D60">
        <w:rPr>
          <w:rFonts w:ascii="Arial" w:hAnsi="Arial" w:cs="Arial"/>
          <w:sz w:val="20"/>
          <w:szCs w:val="20"/>
        </w:rPr>
        <w:t>irregulares as contas nela apontadas, por ofensa ao artigo 37, inciso II da</w:t>
      </w:r>
      <w:r w:rsidR="00B76D60">
        <w:rPr>
          <w:rFonts w:ascii="Arial" w:hAnsi="Arial" w:cs="Arial"/>
          <w:sz w:val="20"/>
          <w:szCs w:val="20"/>
        </w:rPr>
        <w:t xml:space="preserve"> </w:t>
      </w:r>
      <w:r w:rsidR="00B76D60" w:rsidRPr="00B76D60">
        <w:rPr>
          <w:rFonts w:ascii="Arial" w:hAnsi="Arial" w:cs="Arial"/>
          <w:sz w:val="20"/>
          <w:szCs w:val="20"/>
        </w:rPr>
        <w:t>Constituição Federal, deixando-se, contudo, de aplicar sanção aos gestores</w:t>
      </w:r>
      <w:r>
        <w:rPr>
          <w:rFonts w:ascii="Arial" w:hAnsi="Arial" w:cs="Arial"/>
          <w:sz w:val="20"/>
          <w:szCs w:val="20"/>
        </w:rPr>
        <w:t xml:space="preserve"> </w:t>
      </w:r>
      <w:r w:rsidR="00B76D60" w:rsidRPr="00B76D60">
        <w:rPr>
          <w:rFonts w:ascii="Arial" w:hAnsi="Arial" w:cs="Arial"/>
          <w:sz w:val="20"/>
          <w:szCs w:val="20"/>
        </w:rPr>
        <w:t>chamados a responder ao processo, tanto por ausência de dano a ser indenizado à</w:t>
      </w:r>
      <w:r w:rsidR="00B76D60">
        <w:rPr>
          <w:rFonts w:ascii="Arial" w:hAnsi="Arial" w:cs="Arial"/>
          <w:sz w:val="20"/>
          <w:szCs w:val="20"/>
        </w:rPr>
        <w:t xml:space="preserve"> </w:t>
      </w:r>
      <w:r w:rsidR="00B76D60" w:rsidRPr="00B76D60">
        <w:rPr>
          <w:rFonts w:ascii="Arial" w:hAnsi="Arial" w:cs="Arial"/>
          <w:sz w:val="20"/>
          <w:szCs w:val="20"/>
        </w:rPr>
        <w:t>municipalidade, tanto pela impossibilidade de aplicação de multa por fatos pretéritos</w:t>
      </w:r>
      <w:r w:rsidR="00B76D60">
        <w:rPr>
          <w:rFonts w:ascii="Arial" w:hAnsi="Arial" w:cs="Arial"/>
          <w:sz w:val="20"/>
          <w:szCs w:val="20"/>
        </w:rPr>
        <w:t xml:space="preserve"> </w:t>
      </w:r>
      <w:r w:rsidR="00B76D60" w:rsidRPr="00B76D60">
        <w:rPr>
          <w:rFonts w:ascii="Arial" w:hAnsi="Arial" w:cs="Arial"/>
          <w:sz w:val="20"/>
          <w:szCs w:val="20"/>
        </w:rPr>
        <w:t>ao início de vigência da Lei Complementar nº 113/05, em observância aos</w:t>
      </w:r>
      <w:r w:rsidR="00B76D60">
        <w:rPr>
          <w:rFonts w:ascii="Arial" w:hAnsi="Arial" w:cs="Arial"/>
          <w:sz w:val="20"/>
          <w:szCs w:val="20"/>
        </w:rPr>
        <w:t xml:space="preserve"> </w:t>
      </w:r>
      <w:r w:rsidR="00B76D60" w:rsidRPr="00B76D60">
        <w:rPr>
          <w:rFonts w:ascii="Arial" w:hAnsi="Arial" w:cs="Arial"/>
          <w:sz w:val="20"/>
          <w:szCs w:val="20"/>
        </w:rPr>
        <w:t>precedentes desta Corte.</w:t>
      </w:r>
    </w:p>
    <w:p w:rsidR="005D4F1D" w:rsidRDefault="005D4F1D" w:rsidP="00484CA4">
      <w:pPr>
        <w:autoSpaceDE w:val="0"/>
        <w:autoSpaceDN w:val="0"/>
        <w:adjustRightInd w:val="0"/>
        <w:spacing w:after="0"/>
        <w:jc w:val="both"/>
        <w:rPr>
          <w:rFonts w:ascii="Arial" w:hAnsi="Arial" w:cs="Arial"/>
          <w:sz w:val="20"/>
          <w:szCs w:val="20"/>
        </w:rPr>
      </w:pPr>
    </w:p>
    <w:p w:rsidR="005D4F1D" w:rsidRDefault="005D4F1D" w:rsidP="00484CA4">
      <w:pPr>
        <w:autoSpaceDE w:val="0"/>
        <w:autoSpaceDN w:val="0"/>
        <w:adjustRightInd w:val="0"/>
        <w:spacing w:after="0"/>
        <w:jc w:val="both"/>
        <w:rPr>
          <w:rFonts w:ascii="Arial" w:hAnsi="Arial" w:cs="Arial"/>
          <w:sz w:val="20"/>
          <w:szCs w:val="20"/>
        </w:rPr>
      </w:pPr>
      <w:r>
        <w:rPr>
          <w:rFonts w:ascii="Arial" w:hAnsi="Arial" w:cs="Arial"/>
          <w:sz w:val="20"/>
          <w:szCs w:val="20"/>
        </w:rPr>
        <w:t>Processo n°</w:t>
      </w:r>
      <w:r w:rsidR="00684139">
        <w:rPr>
          <w:rFonts w:ascii="Arial" w:hAnsi="Arial" w:cs="Arial"/>
          <w:sz w:val="20"/>
          <w:szCs w:val="20"/>
        </w:rPr>
        <w:t xml:space="preserve"> 561524/10 - </w:t>
      </w:r>
      <w:hyperlink r:id="rId16" w:history="1">
        <w:r w:rsidR="00684139" w:rsidRPr="006C677F">
          <w:rPr>
            <w:rStyle w:val="Hyperlink"/>
            <w:rFonts w:ascii="Arial" w:hAnsi="Arial" w:cs="Arial"/>
            <w:sz w:val="20"/>
            <w:szCs w:val="20"/>
          </w:rPr>
          <w:t>Acórdão 1491/18 - Tribunal Pleno</w:t>
        </w:r>
      </w:hyperlink>
      <w:r w:rsidR="00684139">
        <w:rPr>
          <w:rFonts w:ascii="Arial" w:hAnsi="Arial" w:cs="Arial"/>
          <w:sz w:val="20"/>
          <w:szCs w:val="20"/>
        </w:rPr>
        <w:t xml:space="preserve"> - Rel. Conselheiro Fernando Augusto Mello Guimarães.  </w:t>
      </w:r>
    </w:p>
    <w:p w:rsidR="00830BDE" w:rsidRDefault="00830BDE" w:rsidP="00484CA4">
      <w:pPr>
        <w:autoSpaceDE w:val="0"/>
        <w:autoSpaceDN w:val="0"/>
        <w:adjustRightInd w:val="0"/>
        <w:spacing w:after="0"/>
        <w:jc w:val="both"/>
        <w:rPr>
          <w:rFonts w:ascii="Arial" w:hAnsi="Arial" w:cs="Arial"/>
          <w:b/>
          <w:sz w:val="20"/>
          <w:szCs w:val="20"/>
        </w:rPr>
      </w:pPr>
    </w:p>
    <w:p w:rsidR="00980F52" w:rsidRDefault="00830BDE" w:rsidP="00484CA4">
      <w:pPr>
        <w:autoSpaceDE w:val="0"/>
        <w:autoSpaceDN w:val="0"/>
        <w:adjustRightInd w:val="0"/>
        <w:spacing w:after="0"/>
        <w:jc w:val="both"/>
        <w:rPr>
          <w:rFonts w:ascii="Arial" w:hAnsi="Arial" w:cs="Arial"/>
          <w:b/>
          <w:sz w:val="20"/>
          <w:szCs w:val="20"/>
        </w:rPr>
      </w:pPr>
      <w:r>
        <w:rPr>
          <w:rFonts w:ascii="Arial" w:hAnsi="Arial" w:cs="Arial"/>
          <w:b/>
          <w:sz w:val="20"/>
          <w:szCs w:val="20"/>
        </w:rPr>
        <w:t xml:space="preserve">10. </w:t>
      </w:r>
      <w:r w:rsidR="00980F52" w:rsidRPr="00980F52">
        <w:rPr>
          <w:rFonts w:ascii="Arial" w:hAnsi="Arial" w:cs="Arial"/>
          <w:b/>
          <w:sz w:val="20"/>
          <w:szCs w:val="20"/>
        </w:rPr>
        <w:t>Comunicação de irregularidade. Pagamento de pessoal acima do teto constitucional. Procedência parcial. Aplicação de multa e expedição de determinação.</w:t>
      </w:r>
    </w:p>
    <w:p w:rsidR="00980F52" w:rsidRDefault="00980F52" w:rsidP="00484CA4">
      <w:pPr>
        <w:autoSpaceDE w:val="0"/>
        <w:autoSpaceDN w:val="0"/>
        <w:adjustRightInd w:val="0"/>
        <w:spacing w:after="0"/>
        <w:jc w:val="both"/>
        <w:rPr>
          <w:rFonts w:ascii="Arial" w:hAnsi="Arial" w:cs="Arial"/>
          <w:b/>
          <w:sz w:val="20"/>
          <w:szCs w:val="20"/>
        </w:rPr>
      </w:pPr>
    </w:p>
    <w:p w:rsidR="00980F52" w:rsidRDefault="003201CB" w:rsidP="00484CA4">
      <w:pPr>
        <w:autoSpaceDE w:val="0"/>
        <w:autoSpaceDN w:val="0"/>
        <w:adjustRightInd w:val="0"/>
        <w:spacing w:after="0"/>
        <w:jc w:val="both"/>
        <w:rPr>
          <w:rFonts w:ascii="Arial" w:hAnsi="Arial" w:cs="Arial"/>
          <w:sz w:val="20"/>
          <w:szCs w:val="20"/>
        </w:rPr>
      </w:pPr>
      <w:r w:rsidRPr="005333EB">
        <w:rPr>
          <w:rFonts w:ascii="Arial" w:hAnsi="Arial" w:cs="Arial"/>
          <w:sz w:val="20"/>
          <w:szCs w:val="20"/>
        </w:rPr>
        <w:t>Nesse sentido, não estando o caso em análise contemplado pelas</w:t>
      </w:r>
      <w:r w:rsidR="005333EB">
        <w:rPr>
          <w:rFonts w:ascii="Arial" w:hAnsi="Arial" w:cs="Arial"/>
          <w:sz w:val="20"/>
          <w:szCs w:val="20"/>
        </w:rPr>
        <w:t xml:space="preserve"> </w:t>
      </w:r>
      <w:r w:rsidRPr="005333EB">
        <w:rPr>
          <w:rFonts w:ascii="Arial" w:hAnsi="Arial" w:cs="Arial"/>
          <w:sz w:val="20"/>
          <w:szCs w:val="20"/>
        </w:rPr>
        <w:t>situações de acumulação expressas no texto constitucional, que foi justamente o</w:t>
      </w:r>
      <w:r w:rsidR="005333EB">
        <w:rPr>
          <w:rFonts w:ascii="Arial" w:hAnsi="Arial" w:cs="Arial"/>
          <w:sz w:val="20"/>
          <w:szCs w:val="20"/>
        </w:rPr>
        <w:t xml:space="preserve"> </w:t>
      </w:r>
      <w:r w:rsidRPr="005333EB">
        <w:rPr>
          <w:rFonts w:ascii="Arial" w:hAnsi="Arial" w:cs="Arial"/>
          <w:sz w:val="20"/>
          <w:szCs w:val="20"/>
        </w:rPr>
        <w:t>tema enfrentado pelo STF, não há de se cogitar o afastamento da regra insculpida</w:t>
      </w:r>
      <w:r w:rsidR="005333EB">
        <w:rPr>
          <w:rFonts w:ascii="Arial" w:hAnsi="Arial" w:cs="Arial"/>
          <w:sz w:val="20"/>
          <w:szCs w:val="20"/>
        </w:rPr>
        <w:t xml:space="preserve"> </w:t>
      </w:r>
      <w:r w:rsidRPr="005333EB">
        <w:rPr>
          <w:rFonts w:ascii="Arial" w:hAnsi="Arial" w:cs="Arial"/>
          <w:sz w:val="20"/>
          <w:szCs w:val="20"/>
        </w:rPr>
        <w:t>no art. 37, XI, da Constituição Federal.</w:t>
      </w:r>
    </w:p>
    <w:p w:rsidR="005333EB" w:rsidRPr="005333EB" w:rsidRDefault="005333EB" w:rsidP="00484CA4">
      <w:pPr>
        <w:autoSpaceDE w:val="0"/>
        <w:autoSpaceDN w:val="0"/>
        <w:adjustRightInd w:val="0"/>
        <w:spacing w:after="0"/>
        <w:jc w:val="both"/>
        <w:rPr>
          <w:rFonts w:ascii="Arial" w:hAnsi="Arial" w:cs="Arial"/>
          <w:sz w:val="20"/>
          <w:szCs w:val="20"/>
        </w:rPr>
      </w:pPr>
    </w:p>
    <w:p w:rsidR="003201CB" w:rsidRDefault="003201CB" w:rsidP="00484CA4">
      <w:pPr>
        <w:autoSpaceDE w:val="0"/>
        <w:autoSpaceDN w:val="0"/>
        <w:adjustRightInd w:val="0"/>
        <w:spacing w:after="0"/>
        <w:jc w:val="both"/>
        <w:rPr>
          <w:rFonts w:ascii="Arial" w:hAnsi="Arial" w:cs="Arial"/>
          <w:i/>
          <w:sz w:val="20"/>
          <w:szCs w:val="20"/>
        </w:rPr>
      </w:pPr>
      <w:r w:rsidRPr="005333EB">
        <w:rPr>
          <w:rFonts w:ascii="Arial" w:hAnsi="Arial" w:cs="Arial"/>
          <w:sz w:val="20"/>
          <w:szCs w:val="20"/>
        </w:rPr>
        <w:t>Na parte final do voto do Relator, Ministro Marco Aurélio Melo, há</w:t>
      </w:r>
      <w:r w:rsidR="005333EB">
        <w:rPr>
          <w:rFonts w:ascii="Arial" w:hAnsi="Arial" w:cs="Arial"/>
          <w:sz w:val="20"/>
          <w:szCs w:val="20"/>
        </w:rPr>
        <w:t xml:space="preserve"> </w:t>
      </w:r>
      <w:r w:rsidRPr="005333EB">
        <w:rPr>
          <w:rFonts w:ascii="Arial" w:hAnsi="Arial" w:cs="Arial"/>
          <w:sz w:val="20"/>
          <w:szCs w:val="20"/>
        </w:rPr>
        <w:t>menção expressa sobre quais situações o teto deveria ser aplicado individualmente,</w:t>
      </w:r>
      <w:r w:rsidR="005333EB">
        <w:rPr>
          <w:rFonts w:ascii="Arial" w:hAnsi="Arial" w:cs="Arial"/>
          <w:sz w:val="20"/>
          <w:szCs w:val="20"/>
        </w:rPr>
        <w:t xml:space="preserve"> </w:t>
      </w:r>
      <w:r w:rsidRPr="005333EB">
        <w:rPr>
          <w:rFonts w:ascii="Arial" w:hAnsi="Arial" w:cs="Arial"/>
          <w:sz w:val="20"/>
          <w:szCs w:val="20"/>
        </w:rPr>
        <w:t>não restando espaço para interpretação extensiva</w:t>
      </w:r>
      <w:r w:rsidR="005333EB">
        <w:rPr>
          <w:rFonts w:ascii="Arial" w:hAnsi="Arial" w:cs="Arial"/>
          <w:sz w:val="20"/>
          <w:szCs w:val="20"/>
        </w:rPr>
        <w:t xml:space="preserve">: </w:t>
      </w:r>
      <w:r w:rsidRPr="005333EB">
        <w:rPr>
          <w:rFonts w:ascii="Arial" w:hAnsi="Arial" w:cs="Arial"/>
          <w:i/>
          <w:sz w:val="20"/>
          <w:szCs w:val="20"/>
        </w:rPr>
        <w:t>“A cláusula contida no inciso XI do artigo 37 da</w:t>
      </w:r>
      <w:r w:rsidR="005333EB" w:rsidRPr="005333EB">
        <w:rPr>
          <w:rFonts w:ascii="Arial" w:hAnsi="Arial" w:cs="Arial"/>
          <w:i/>
          <w:sz w:val="20"/>
          <w:szCs w:val="20"/>
        </w:rPr>
        <w:t xml:space="preserve"> </w:t>
      </w:r>
      <w:r w:rsidRPr="005333EB">
        <w:rPr>
          <w:rFonts w:ascii="Arial" w:hAnsi="Arial" w:cs="Arial"/>
          <w:i/>
          <w:sz w:val="20"/>
          <w:szCs w:val="20"/>
        </w:rPr>
        <w:t xml:space="preserve">Constituição Federal </w:t>
      </w:r>
      <w:r w:rsidR="005333EB" w:rsidRPr="005333EB">
        <w:rPr>
          <w:rFonts w:ascii="Arial" w:hAnsi="Arial" w:cs="Arial"/>
          <w:i/>
          <w:sz w:val="20"/>
          <w:szCs w:val="20"/>
        </w:rPr>
        <w:t>-</w:t>
      </w:r>
      <w:r w:rsidRPr="005333EB">
        <w:rPr>
          <w:rFonts w:ascii="Arial" w:hAnsi="Arial" w:cs="Arial"/>
          <w:i/>
          <w:sz w:val="20"/>
          <w:szCs w:val="20"/>
        </w:rPr>
        <w:t xml:space="preserve"> “percebidos </w:t>
      </w:r>
      <w:r w:rsidRPr="005333EB">
        <w:rPr>
          <w:rFonts w:ascii="Arial" w:hAnsi="Arial" w:cs="Arial"/>
          <w:i/>
          <w:sz w:val="20"/>
          <w:szCs w:val="20"/>
        </w:rPr>
        <w:lastRenderedPageBreak/>
        <w:t>cumulativamente ou não”</w:t>
      </w:r>
      <w:r w:rsidR="005333EB" w:rsidRPr="005333EB">
        <w:rPr>
          <w:rFonts w:ascii="Arial" w:hAnsi="Arial" w:cs="Arial"/>
          <w:i/>
          <w:sz w:val="20"/>
          <w:szCs w:val="20"/>
        </w:rPr>
        <w:t xml:space="preserve">- </w:t>
      </w:r>
      <w:r w:rsidRPr="005333EB">
        <w:rPr>
          <w:rFonts w:ascii="Arial" w:hAnsi="Arial" w:cs="Arial"/>
          <w:i/>
          <w:sz w:val="20"/>
          <w:szCs w:val="20"/>
        </w:rPr>
        <w:t>diz respeito a junções remuneratórias fora das autorizadas no</w:t>
      </w:r>
      <w:r w:rsidR="005333EB" w:rsidRPr="005333EB">
        <w:rPr>
          <w:rFonts w:ascii="Arial" w:hAnsi="Arial" w:cs="Arial"/>
          <w:i/>
          <w:sz w:val="20"/>
          <w:szCs w:val="20"/>
        </w:rPr>
        <w:t xml:space="preserve"> </w:t>
      </w:r>
      <w:r w:rsidRPr="005333EB">
        <w:rPr>
          <w:rFonts w:ascii="Arial" w:hAnsi="Arial" w:cs="Arial"/>
          <w:i/>
          <w:sz w:val="20"/>
          <w:szCs w:val="20"/>
        </w:rPr>
        <w:t>inciso que se segue, ou seja, o XVI, a viabilizar a</w:t>
      </w:r>
      <w:r w:rsidR="005333EB" w:rsidRPr="005333EB">
        <w:rPr>
          <w:rFonts w:ascii="Arial" w:hAnsi="Arial" w:cs="Arial"/>
          <w:i/>
          <w:sz w:val="20"/>
          <w:szCs w:val="20"/>
        </w:rPr>
        <w:t xml:space="preserve"> </w:t>
      </w:r>
      <w:r w:rsidRPr="005333EB">
        <w:rPr>
          <w:rFonts w:ascii="Arial" w:hAnsi="Arial" w:cs="Arial"/>
          <w:i/>
          <w:sz w:val="20"/>
          <w:szCs w:val="20"/>
        </w:rPr>
        <w:t>simultaneidade do exercício de dois cargos de professor, a de</w:t>
      </w:r>
      <w:r w:rsidR="005333EB" w:rsidRPr="005333EB">
        <w:rPr>
          <w:rFonts w:ascii="Arial" w:hAnsi="Arial" w:cs="Arial"/>
          <w:i/>
          <w:sz w:val="20"/>
          <w:szCs w:val="20"/>
        </w:rPr>
        <w:t xml:space="preserve"> </w:t>
      </w:r>
      <w:r w:rsidRPr="005333EB">
        <w:rPr>
          <w:rFonts w:ascii="Arial" w:hAnsi="Arial" w:cs="Arial"/>
          <w:i/>
          <w:sz w:val="20"/>
          <w:szCs w:val="20"/>
        </w:rPr>
        <w:t>um cargo de professor com outro técnico ou científico e a de</w:t>
      </w:r>
      <w:r w:rsidR="005333EB" w:rsidRPr="005333EB">
        <w:rPr>
          <w:rFonts w:ascii="Arial" w:hAnsi="Arial" w:cs="Arial"/>
          <w:i/>
          <w:sz w:val="20"/>
          <w:szCs w:val="20"/>
        </w:rPr>
        <w:t xml:space="preserve"> </w:t>
      </w:r>
      <w:r w:rsidRPr="005333EB">
        <w:rPr>
          <w:rFonts w:ascii="Arial" w:hAnsi="Arial" w:cs="Arial"/>
          <w:i/>
          <w:sz w:val="20"/>
          <w:szCs w:val="20"/>
        </w:rPr>
        <w:t>dois cargos privativos de profissionais da saúde.”</w:t>
      </w:r>
    </w:p>
    <w:p w:rsidR="005333EB" w:rsidRPr="005333EB" w:rsidRDefault="005333EB" w:rsidP="00484CA4">
      <w:pPr>
        <w:autoSpaceDE w:val="0"/>
        <w:autoSpaceDN w:val="0"/>
        <w:adjustRightInd w:val="0"/>
        <w:spacing w:after="0"/>
        <w:jc w:val="both"/>
        <w:rPr>
          <w:rFonts w:ascii="Arial" w:hAnsi="Arial" w:cs="Arial"/>
          <w:sz w:val="20"/>
          <w:szCs w:val="20"/>
        </w:rPr>
      </w:pPr>
    </w:p>
    <w:p w:rsidR="005333EB" w:rsidRDefault="003201CB" w:rsidP="00484CA4">
      <w:pPr>
        <w:autoSpaceDE w:val="0"/>
        <w:autoSpaceDN w:val="0"/>
        <w:adjustRightInd w:val="0"/>
        <w:spacing w:after="0"/>
        <w:jc w:val="both"/>
        <w:rPr>
          <w:rFonts w:ascii="Arial" w:hAnsi="Arial" w:cs="Arial"/>
          <w:sz w:val="20"/>
          <w:szCs w:val="20"/>
        </w:rPr>
      </w:pPr>
      <w:r w:rsidRPr="005333EB">
        <w:rPr>
          <w:rFonts w:ascii="Arial" w:hAnsi="Arial" w:cs="Arial"/>
          <w:sz w:val="20"/>
          <w:szCs w:val="20"/>
        </w:rPr>
        <w:t>Tal interpretação, inclusive, já restou assentada em decisões recentes deste TCE-PR,</w:t>
      </w:r>
      <w:r w:rsidR="005333EB">
        <w:rPr>
          <w:rFonts w:ascii="Arial" w:hAnsi="Arial" w:cs="Arial"/>
          <w:sz w:val="20"/>
          <w:szCs w:val="20"/>
        </w:rPr>
        <w:t xml:space="preserve"> </w:t>
      </w:r>
      <w:r w:rsidRPr="005333EB">
        <w:rPr>
          <w:rFonts w:ascii="Arial" w:hAnsi="Arial" w:cs="Arial"/>
          <w:sz w:val="20"/>
          <w:szCs w:val="20"/>
        </w:rPr>
        <w:t xml:space="preserve">como no Acórdão nº 813/18 </w:t>
      </w:r>
      <w:r w:rsidR="005333EB">
        <w:rPr>
          <w:rFonts w:ascii="Arial" w:hAnsi="Arial" w:cs="Arial"/>
          <w:sz w:val="20"/>
          <w:szCs w:val="20"/>
        </w:rPr>
        <w:t>-</w:t>
      </w:r>
      <w:r w:rsidRPr="005333EB">
        <w:rPr>
          <w:rFonts w:ascii="Arial" w:hAnsi="Arial" w:cs="Arial"/>
          <w:sz w:val="20"/>
          <w:szCs w:val="20"/>
        </w:rPr>
        <w:t xml:space="preserve"> Pleno, de Relatoria do Conselheiro Fernando Guimarães</w:t>
      </w:r>
      <w:r w:rsidR="005333EB">
        <w:rPr>
          <w:rFonts w:ascii="Arial" w:hAnsi="Arial" w:cs="Arial"/>
          <w:sz w:val="20"/>
          <w:szCs w:val="20"/>
        </w:rPr>
        <w:t xml:space="preserve">. </w:t>
      </w:r>
      <w:r w:rsidR="005333EB" w:rsidRPr="005333EB">
        <w:rPr>
          <w:rFonts w:ascii="Arial" w:hAnsi="Arial" w:cs="Arial"/>
          <w:sz w:val="20"/>
          <w:szCs w:val="20"/>
        </w:rPr>
        <w:t>Na mencionada demanda, este Tribunal de Contas negou pedido de</w:t>
      </w:r>
      <w:r w:rsidR="005333EB">
        <w:rPr>
          <w:rFonts w:ascii="Arial" w:hAnsi="Arial" w:cs="Arial"/>
          <w:sz w:val="20"/>
          <w:szCs w:val="20"/>
        </w:rPr>
        <w:t xml:space="preserve"> </w:t>
      </w:r>
      <w:r w:rsidR="005333EB" w:rsidRPr="005333EB">
        <w:rPr>
          <w:rFonts w:ascii="Arial" w:hAnsi="Arial" w:cs="Arial"/>
          <w:sz w:val="20"/>
          <w:szCs w:val="20"/>
        </w:rPr>
        <w:t>servidor de seus quadros, que pretendia afastar a incidência do teto sobre a soma</w:t>
      </w:r>
      <w:r w:rsidR="005333EB">
        <w:rPr>
          <w:rFonts w:ascii="Arial" w:hAnsi="Arial" w:cs="Arial"/>
          <w:sz w:val="20"/>
          <w:szCs w:val="20"/>
        </w:rPr>
        <w:t xml:space="preserve"> </w:t>
      </w:r>
      <w:r w:rsidR="005333EB" w:rsidRPr="005333EB">
        <w:rPr>
          <w:rFonts w:ascii="Arial" w:hAnsi="Arial" w:cs="Arial"/>
          <w:sz w:val="20"/>
          <w:szCs w:val="20"/>
        </w:rPr>
        <w:t>de suas remunerações (proventos de aposentadoria e cargo em comissão), ou seja,</w:t>
      </w:r>
      <w:r w:rsidR="005333EB">
        <w:rPr>
          <w:rFonts w:ascii="Arial" w:hAnsi="Arial" w:cs="Arial"/>
          <w:sz w:val="20"/>
          <w:szCs w:val="20"/>
        </w:rPr>
        <w:t xml:space="preserve"> </w:t>
      </w:r>
      <w:r w:rsidR="005333EB" w:rsidRPr="005333EB">
        <w:rPr>
          <w:rFonts w:ascii="Arial" w:hAnsi="Arial" w:cs="Arial"/>
          <w:sz w:val="20"/>
          <w:szCs w:val="20"/>
        </w:rPr>
        <w:t>situação idêntica ao caso em análise.</w:t>
      </w:r>
      <w:r w:rsidR="005333EB">
        <w:rPr>
          <w:rFonts w:ascii="Arial" w:hAnsi="Arial" w:cs="Arial"/>
          <w:sz w:val="20"/>
          <w:szCs w:val="20"/>
        </w:rPr>
        <w:t xml:space="preserve"> </w:t>
      </w:r>
    </w:p>
    <w:p w:rsidR="005333EB" w:rsidRPr="005333EB" w:rsidRDefault="005333EB" w:rsidP="00484CA4">
      <w:pPr>
        <w:autoSpaceDE w:val="0"/>
        <w:autoSpaceDN w:val="0"/>
        <w:adjustRightInd w:val="0"/>
        <w:spacing w:after="0"/>
        <w:jc w:val="both"/>
        <w:rPr>
          <w:rFonts w:ascii="Arial" w:hAnsi="Arial" w:cs="Arial"/>
          <w:sz w:val="20"/>
          <w:szCs w:val="20"/>
        </w:rPr>
      </w:pPr>
    </w:p>
    <w:p w:rsidR="003201CB" w:rsidRDefault="005333EB" w:rsidP="00484CA4">
      <w:pPr>
        <w:autoSpaceDE w:val="0"/>
        <w:autoSpaceDN w:val="0"/>
        <w:adjustRightInd w:val="0"/>
        <w:spacing w:after="0"/>
        <w:jc w:val="both"/>
        <w:rPr>
          <w:rFonts w:ascii="Arial" w:hAnsi="Arial" w:cs="Arial"/>
          <w:sz w:val="20"/>
          <w:szCs w:val="20"/>
        </w:rPr>
      </w:pPr>
      <w:r>
        <w:rPr>
          <w:rFonts w:ascii="Arial" w:hAnsi="Arial" w:cs="Arial"/>
          <w:sz w:val="20"/>
          <w:szCs w:val="20"/>
        </w:rPr>
        <w:t>Nesse sentido</w:t>
      </w:r>
      <w:r w:rsidR="006D7D43">
        <w:rPr>
          <w:rFonts w:ascii="Arial" w:hAnsi="Arial" w:cs="Arial"/>
          <w:sz w:val="20"/>
          <w:szCs w:val="20"/>
        </w:rPr>
        <w:t xml:space="preserve">, </w:t>
      </w:r>
      <w:r>
        <w:rPr>
          <w:rFonts w:ascii="Arial" w:hAnsi="Arial" w:cs="Arial"/>
          <w:sz w:val="20"/>
          <w:szCs w:val="20"/>
        </w:rPr>
        <w:t>determinou-se e</w:t>
      </w:r>
      <w:r w:rsidR="003201CB" w:rsidRPr="005333EB">
        <w:rPr>
          <w:rFonts w:ascii="Arial" w:hAnsi="Arial" w:cs="Arial"/>
          <w:sz w:val="20"/>
          <w:szCs w:val="20"/>
        </w:rPr>
        <w:t xml:space="preserve">xpedição de </w:t>
      </w:r>
      <w:r>
        <w:rPr>
          <w:rFonts w:ascii="Arial" w:hAnsi="Arial" w:cs="Arial"/>
          <w:sz w:val="20"/>
          <w:szCs w:val="20"/>
        </w:rPr>
        <w:t>d</w:t>
      </w:r>
      <w:r w:rsidR="003201CB" w:rsidRPr="005333EB">
        <w:rPr>
          <w:rFonts w:ascii="Arial" w:hAnsi="Arial" w:cs="Arial"/>
          <w:sz w:val="20"/>
          <w:szCs w:val="20"/>
        </w:rPr>
        <w:t>eterminação à Secretaria de Estado da</w:t>
      </w:r>
      <w:r>
        <w:rPr>
          <w:rFonts w:ascii="Arial" w:hAnsi="Arial" w:cs="Arial"/>
          <w:sz w:val="20"/>
          <w:szCs w:val="20"/>
        </w:rPr>
        <w:t xml:space="preserve"> </w:t>
      </w:r>
      <w:r w:rsidR="003201CB" w:rsidRPr="005333EB">
        <w:rPr>
          <w:rFonts w:ascii="Arial" w:hAnsi="Arial" w:cs="Arial"/>
          <w:sz w:val="20"/>
          <w:szCs w:val="20"/>
        </w:rPr>
        <w:t>Administração e Previdência para que, no prazo de 60 dias, adote providências no</w:t>
      </w:r>
      <w:r>
        <w:rPr>
          <w:rFonts w:ascii="Arial" w:hAnsi="Arial" w:cs="Arial"/>
          <w:sz w:val="20"/>
          <w:szCs w:val="20"/>
        </w:rPr>
        <w:t xml:space="preserve"> </w:t>
      </w:r>
      <w:r w:rsidR="003201CB" w:rsidRPr="005333EB">
        <w:rPr>
          <w:rFonts w:ascii="Arial" w:hAnsi="Arial" w:cs="Arial"/>
          <w:sz w:val="20"/>
          <w:szCs w:val="20"/>
        </w:rPr>
        <w:t>sentido de instituir normas e/ou controles que efetivem a imposição do teto</w:t>
      </w:r>
      <w:r>
        <w:rPr>
          <w:rFonts w:ascii="Arial" w:hAnsi="Arial" w:cs="Arial"/>
          <w:sz w:val="20"/>
          <w:szCs w:val="20"/>
        </w:rPr>
        <w:t xml:space="preserve"> </w:t>
      </w:r>
      <w:r w:rsidR="003201CB" w:rsidRPr="005333EB">
        <w:rPr>
          <w:rFonts w:ascii="Arial" w:hAnsi="Arial" w:cs="Arial"/>
          <w:sz w:val="20"/>
          <w:szCs w:val="20"/>
        </w:rPr>
        <w:t>remuneratório na folha de pagamentos do Poder Executivo do Estado do Paraná em</w:t>
      </w:r>
      <w:r>
        <w:rPr>
          <w:rFonts w:ascii="Arial" w:hAnsi="Arial" w:cs="Arial"/>
          <w:sz w:val="20"/>
          <w:szCs w:val="20"/>
        </w:rPr>
        <w:t xml:space="preserve"> </w:t>
      </w:r>
      <w:r w:rsidR="003201CB" w:rsidRPr="005333EB">
        <w:rPr>
          <w:rFonts w:ascii="Arial" w:hAnsi="Arial" w:cs="Arial"/>
          <w:sz w:val="20"/>
          <w:szCs w:val="20"/>
        </w:rPr>
        <w:t>situações de acumulação de vencimentos com proventos de aposentadoria</w:t>
      </w:r>
      <w:r>
        <w:rPr>
          <w:rFonts w:ascii="Arial" w:hAnsi="Arial" w:cs="Arial"/>
          <w:sz w:val="20"/>
          <w:szCs w:val="20"/>
        </w:rPr>
        <w:t xml:space="preserve"> </w:t>
      </w:r>
      <w:r w:rsidR="003201CB" w:rsidRPr="005333EB">
        <w:rPr>
          <w:rFonts w:ascii="Arial" w:hAnsi="Arial" w:cs="Arial"/>
          <w:sz w:val="20"/>
          <w:szCs w:val="20"/>
        </w:rPr>
        <w:t xml:space="preserve">Expedição de Determinação à </w:t>
      </w:r>
      <w:r>
        <w:rPr>
          <w:rFonts w:ascii="Arial" w:hAnsi="Arial" w:cs="Arial"/>
          <w:sz w:val="20"/>
          <w:szCs w:val="20"/>
        </w:rPr>
        <w:t xml:space="preserve">Secretaria de Estado da Justiça </w:t>
      </w:r>
      <w:r w:rsidR="003201CB" w:rsidRPr="005333EB">
        <w:rPr>
          <w:rFonts w:ascii="Arial" w:hAnsi="Arial" w:cs="Arial"/>
          <w:sz w:val="20"/>
          <w:szCs w:val="20"/>
        </w:rPr>
        <w:t>Trabalho e Direitos Humanos, para que se abstenha de realizar pagamentos em</w:t>
      </w:r>
      <w:r>
        <w:rPr>
          <w:rFonts w:ascii="Arial" w:hAnsi="Arial" w:cs="Arial"/>
          <w:sz w:val="20"/>
          <w:szCs w:val="20"/>
        </w:rPr>
        <w:t xml:space="preserve"> </w:t>
      </w:r>
      <w:r w:rsidR="003201CB" w:rsidRPr="005333EB">
        <w:rPr>
          <w:rFonts w:ascii="Arial" w:hAnsi="Arial" w:cs="Arial"/>
          <w:sz w:val="20"/>
          <w:szCs w:val="20"/>
        </w:rPr>
        <w:t>inobservância ao teto remuneratório estabelecido pelo art. 37, XI, da Constituição</w:t>
      </w:r>
      <w:r>
        <w:rPr>
          <w:rFonts w:ascii="Arial" w:hAnsi="Arial" w:cs="Arial"/>
          <w:sz w:val="20"/>
          <w:szCs w:val="20"/>
        </w:rPr>
        <w:t xml:space="preserve"> Federal, bem como pela e</w:t>
      </w:r>
      <w:r w:rsidR="003201CB" w:rsidRPr="005333EB">
        <w:rPr>
          <w:rFonts w:ascii="Arial" w:hAnsi="Arial" w:cs="Arial"/>
          <w:sz w:val="20"/>
          <w:szCs w:val="20"/>
        </w:rPr>
        <w:t>xpedição de comunicação à Procuradoria Geral do Estado, à</w:t>
      </w:r>
      <w:r>
        <w:rPr>
          <w:rFonts w:ascii="Arial" w:hAnsi="Arial" w:cs="Arial"/>
          <w:sz w:val="20"/>
          <w:szCs w:val="20"/>
        </w:rPr>
        <w:t xml:space="preserve"> </w:t>
      </w:r>
      <w:r w:rsidR="003201CB" w:rsidRPr="005333EB">
        <w:rPr>
          <w:rFonts w:ascii="Arial" w:hAnsi="Arial" w:cs="Arial"/>
          <w:sz w:val="20"/>
          <w:szCs w:val="20"/>
        </w:rPr>
        <w:t>Controladoria Geral do Estado e ao Gabinete da Governadoria, para que tomem</w:t>
      </w:r>
      <w:r>
        <w:rPr>
          <w:rFonts w:ascii="Arial" w:hAnsi="Arial" w:cs="Arial"/>
          <w:sz w:val="20"/>
          <w:szCs w:val="20"/>
        </w:rPr>
        <w:t xml:space="preserve"> </w:t>
      </w:r>
      <w:r w:rsidR="003201CB" w:rsidRPr="005333EB">
        <w:rPr>
          <w:rFonts w:ascii="Arial" w:hAnsi="Arial" w:cs="Arial"/>
          <w:sz w:val="20"/>
          <w:szCs w:val="20"/>
        </w:rPr>
        <w:t>ciência e adotem as medidas que entenderem cabíveis, no que tange à observância</w:t>
      </w:r>
      <w:r>
        <w:rPr>
          <w:rFonts w:ascii="Arial" w:hAnsi="Arial" w:cs="Arial"/>
          <w:sz w:val="20"/>
          <w:szCs w:val="20"/>
        </w:rPr>
        <w:t xml:space="preserve"> </w:t>
      </w:r>
      <w:r w:rsidR="003201CB" w:rsidRPr="005333EB">
        <w:rPr>
          <w:rFonts w:ascii="Arial" w:hAnsi="Arial" w:cs="Arial"/>
          <w:sz w:val="20"/>
          <w:szCs w:val="20"/>
        </w:rPr>
        <w:t>da aplicação do teto remuneratório, tendo em vista a falta de integração do Sistema</w:t>
      </w:r>
      <w:r>
        <w:rPr>
          <w:rFonts w:ascii="Arial" w:hAnsi="Arial" w:cs="Arial"/>
          <w:sz w:val="20"/>
          <w:szCs w:val="20"/>
        </w:rPr>
        <w:t xml:space="preserve"> </w:t>
      </w:r>
      <w:r w:rsidR="003201CB" w:rsidRPr="005333EB">
        <w:rPr>
          <w:rFonts w:ascii="Arial" w:hAnsi="Arial" w:cs="Arial"/>
          <w:sz w:val="20"/>
          <w:szCs w:val="20"/>
        </w:rPr>
        <w:t>Meta 4 com relação ao pagamento de aposentadorias e pensões, nos termos</w:t>
      </w:r>
      <w:r>
        <w:rPr>
          <w:rFonts w:ascii="Arial" w:hAnsi="Arial" w:cs="Arial"/>
          <w:sz w:val="20"/>
          <w:szCs w:val="20"/>
        </w:rPr>
        <w:t xml:space="preserve"> </w:t>
      </w:r>
      <w:r w:rsidR="003201CB" w:rsidRPr="005333EB">
        <w:rPr>
          <w:rFonts w:ascii="Arial" w:hAnsi="Arial" w:cs="Arial"/>
          <w:sz w:val="20"/>
          <w:szCs w:val="20"/>
        </w:rPr>
        <w:t>evidenciados na presente Comunicação de Irregularidade</w:t>
      </w:r>
      <w:r>
        <w:rPr>
          <w:rFonts w:ascii="Arial" w:hAnsi="Arial" w:cs="Arial"/>
          <w:sz w:val="20"/>
          <w:szCs w:val="20"/>
        </w:rPr>
        <w:t>.</w:t>
      </w:r>
    </w:p>
    <w:p w:rsidR="005333EB" w:rsidRDefault="005333EB" w:rsidP="00484CA4">
      <w:pPr>
        <w:autoSpaceDE w:val="0"/>
        <w:autoSpaceDN w:val="0"/>
        <w:adjustRightInd w:val="0"/>
        <w:spacing w:after="0"/>
        <w:jc w:val="both"/>
        <w:rPr>
          <w:rFonts w:ascii="Arial" w:hAnsi="Arial" w:cs="Arial"/>
          <w:sz w:val="20"/>
          <w:szCs w:val="20"/>
        </w:rPr>
      </w:pPr>
    </w:p>
    <w:p w:rsidR="005333EB" w:rsidRPr="007C03E7" w:rsidRDefault="007C03E7" w:rsidP="00484CA4">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615760/16 - </w:t>
      </w:r>
      <w:hyperlink r:id="rId17" w:history="1">
        <w:r w:rsidRPr="0029656C">
          <w:rPr>
            <w:rStyle w:val="Hyperlink"/>
            <w:rFonts w:ascii="Arial" w:hAnsi="Arial" w:cs="Arial"/>
            <w:sz w:val="20"/>
            <w:szCs w:val="20"/>
          </w:rPr>
          <w:t>Acórdão n° 1483/18 - Tribunal Pleno</w:t>
        </w:r>
      </w:hyperlink>
      <w:r>
        <w:rPr>
          <w:rFonts w:ascii="Arial" w:hAnsi="Arial" w:cs="Arial"/>
          <w:sz w:val="20"/>
          <w:szCs w:val="20"/>
        </w:rPr>
        <w:t xml:space="preserve"> - Relator Conselheiro Nestor Baptista.   </w:t>
      </w:r>
    </w:p>
    <w:p w:rsidR="00B76D60" w:rsidRPr="00B76D60" w:rsidRDefault="00B76D60" w:rsidP="00B76D60">
      <w:pPr>
        <w:autoSpaceDE w:val="0"/>
        <w:autoSpaceDN w:val="0"/>
        <w:adjustRightInd w:val="0"/>
        <w:spacing w:after="0" w:line="240" w:lineRule="auto"/>
        <w:jc w:val="both"/>
        <w:rPr>
          <w:rFonts w:ascii="Arial" w:hAnsi="Arial" w:cs="Arial"/>
          <w:color w:val="000000"/>
          <w:sz w:val="20"/>
          <w:szCs w:val="20"/>
          <w:shd w:val="clear" w:color="auto" w:fill="FFFFFF"/>
        </w:rPr>
      </w:pPr>
    </w:p>
    <w:p w:rsidR="00E8762F" w:rsidRPr="0022060B" w:rsidRDefault="00E8762F" w:rsidP="00816942">
      <w:pPr>
        <w:autoSpaceDE w:val="0"/>
        <w:autoSpaceDN w:val="0"/>
        <w:adjustRightInd w:val="0"/>
        <w:spacing w:after="0"/>
        <w:jc w:val="both"/>
        <w:rPr>
          <w:rFonts w:ascii="Arial" w:hAnsi="Arial" w:cs="Arial"/>
          <w:sz w:val="20"/>
          <w:szCs w:val="20"/>
        </w:rPr>
      </w:pPr>
      <w:r w:rsidRPr="0022060B">
        <w:rPr>
          <w:rFonts w:ascii="Arial" w:hAnsi="Arial" w:cs="Arial"/>
          <w:sz w:val="20"/>
          <w:szCs w:val="20"/>
        </w:rPr>
        <w:t xml:space="preserve">Observações: </w:t>
      </w:r>
    </w:p>
    <w:p w:rsidR="005C4DB7" w:rsidRPr="0022060B" w:rsidRDefault="00E4415D" w:rsidP="00816942">
      <w:pPr>
        <w:spacing w:after="0"/>
        <w:rPr>
          <w:rFonts w:ascii="Arial" w:hAnsi="Arial" w:cs="Arial"/>
          <w:b/>
          <w:color w:val="000000"/>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54656" behindDoc="0" locked="0" layoutInCell="1" allowOverlap="1" wp14:anchorId="15D64EE6" wp14:editId="599D7F15">
                <wp:simplePos x="0" y="0"/>
                <wp:positionH relativeFrom="margin">
                  <wp:posOffset>-6985</wp:posOffset>
                </wp:positionH>
                <wp:positionV relativeFrom="paragraph">
                  <wp:posOffset>73660</wp:posOffset>
                </wp:positionV>
                <wp:extent cx="5499100" cy="0"/>
                <wp:effectExtent l="0" t="0" r="25400" b="57150"/>
                <wp:wrapNone/>
                <wp:docPr id="58" name="Conector reto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B577E9F" id="Conector reto 58" o:spid="_x0000_s1026"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" strokecolor="black [3200]" strokeweight="2pt">
                <v:shadow on="t" color="black" opacity="24903f" origin=",.5" offset="0,.55556mm"/>
                <w10:wrap anchorx="margin"/>
              </v:line>
            </w:pict>
          </mc:Fallback>
        </mc:AlternateContent>
      </w:r>
    </w:p>
    <w:p w:rsidR="0026477F" w:rsidRPr="0022060B" w:rsidRDefault="0026477F" w:rsidP="00816942">
      <w:pPr>
        <w:spacing w:after="0"/>
        <w:rPr>
          <w:rFonts w:ascii="Arial" w:hAnsi="Arial" w:cs="Arial"/>
          <w:color w:val="000000"/>
          <w:sz w:val="20"/>
          <w:szCs w:val="20"/>
        </w:rPr>
      </w:pPr>
      <w:r w:rsidRPr="0022060B">
        <w:rPr>
          <w:rFonts w:ascii="Arial" w:hAnsi="Arial" w:cs="Arial"/>
          <w:color w:val="000000"/>
          <w:sz w:val="20"/>
          <w:szCs w:val="20"/>
        </w:rPr>
        <w:t>Ju</w:t>
      </w:r>
      <w:r w:rsidR="00AD528F" w:rsidRPr="0022060B">
        <w:rPr>
          <w:rFonts w:ascii="Arial" w:hAnsi="Arial" w:cs="Arial"/>
          <w:color w:val="000000"/>
          <w:sz w:val="20"/>
          <w:szCs w:val="20"/>
        </w:rPr>
        <w:t xml:space="preserve">risprudência Selecionada: </w:t>
      </w:r>
    </w:p>
    <w:p w:rsidR="000B2FD9" w:rsidRDefault="000B2FD9" w:rsidP="000B2FD9">
      <w:pPr>
        <w:spacing w:after="0"/>
        <w:jc w:val="both"/>
        <w:rPr>
          <w:rFonts w:ascii="Arial" w:hAnsi="Arial" w:cs="Arial"/>
          <w:b/>
          <w:color w:val="000000"/>
          <w:sz w:val="20"/>
          <w:szCs w:val="20"/>
        </w:rPr>
      </w:pPr>
    </w:p>
    <w:p w:rsidR="000800D1" w:rsidRDefault="000800D1" w:rsidP="006E12D5">
      <w:pPr>
        <w:spacing w:after="0"/>
        <w:jc w:val="both"/>
        <w:rPr>
          <w:rFonts w:ascii="Arial" w:hAnsi="Arial" w:cs="Arial"/>
          <w:b/>
          <w:color w:val="000000"/>
          <w:sz w:val="20"/>
          <w:szCs w:val="20"/>
        </w:rPr>
      </w:pPr>
      <w:r w:rsidRPr="00DB558E">
        <w:rPr>
          <w:rFonts w:ascii="Arial" w:hAnsi="Arial" w:cs="Arial"/>
          <w:b/>
          <w:color w:val="000000"/>
          <w:sz w:val="20"/>
          <w:szCs w:val="20"/>
        </w:rPr>
        <w:t>Tribunal de Contas da União:</w:t>
      </w:r>
    </w:p>
    <w:p w:rsidR="00484CA4" w:rsidRPr="00DB558E" w:rsidRDefault="00484CA4" w:rsidP="006E12D5">
      <w:pPr>
        <w:spacing w:after="0"/>
        <w:jc w:val="both"/>
        <w:rPr>
          <w:rFonts w:ascii="Arial" w:hAnsi="Arial" w:cs="Arial"/>
          <w:b/>
          <w:color w:val="000000"/>
          <w:sz w:val="20"/>
          <w:szCs w:val="20"/>
        </w:rPr>
      </w:pPr>
    </w:p>
    <w:p w:rsidR="00F010B6" w:rsidRPr="00F010B6" w:rsidRDefault="00AD0DF9" w:rsidP="00F010B6">
      <w:pPr>
        <w:widowControl w:val="0"/>
        <w:autoSpaceDE w:val="0"/>
        <w:autoSpaceDN w:val="0"/>
        <w:jc w:val="both"/>
        <w:rPr>
          <w:rFonts w:ascii="Arial" w:hAnsi="Arial" w:cs="Arial"/>
          <w:b/>
          <w:sz w:val="20"/>
          <w:szCs w:val="20"/>
        </w:rPr>
      </w:pPr>
      <w:hyperlink r:id="rId18" w:history="1">
        <w:r w:rsidR="00F010B6" w:rsidRPr="00275CA6">
          <w:rPr>
            <w:rStyle w:val="Hyperlink"/>
            <w:rFonts w:ascii="Arial" w:hAnsi="Arial" w:cs="Arial"/>
            <w:b/>
            <w:sz w:val="20"/>
            <w:szCs w:val="20"/>
          </w:rPr>
          <w:t>Acórdão 2860/2018</w:t>
        </w:r>
        <w:r w:rsidR="00275CA6" w:rsidRPr="00275CA6">
          <w:rPr>
            <w:rStyle w:val="Hyperlink"/>
            <w:rFonts w:ascii="Arial" w:hAnsi="Arial" w:cs="Arial"/>
            <w:b/>
            <w:sz w:val="20"/>
            <w:szCs w:val="20"/>
          </w:rPr>
          <w:t xml:space="preserve"> - </w:t>
        </w:r>
        <w:r w:rsidR="00F010B6" w:rsidRPr="00275CA6">
          <w:rPr>
            <w:rStyle w:val="Hyperlink"/>
            <w:rFonts w:ascii="Arial" w:hAnsi="Arial" w:cs="Arial"/>
            <w:b/>
            <w:sz w:val="20"/>
            <w:szCs w:val="20"/>
          </w:rPr>
          <w:t>Segunda Câmara</w:t>
        </w:r>
      </w:hyperlink>
      <w:r w:rsidR="00F010B6" w:rsidRPr="00F010B6">
        <w:rPr>
          <w:rFonts w:ascii="Arial" w:hAnsi="Arial" w:cs="Arial"/>
          <w:b/>
          <w:sz w:val="20"/>
          <w:szCs w:val="20"/>
        </w:rPr>
        <w:t xml:space="preserve"> </w:t>
      </w:r>
      <w:r w:rsidR="00F010B6" w:rsidRPr="00F010B6">
        <w:rPr>
          <w:rFonts w:ascii="Arial" w:hAnsi="Arial" w:cs="Arial"/>
          <w:sz w:val="20"/>
          <w:szCs w:val="20"/>
        </w:rPr>
        <w:t>(Recurso de Reconsideração, Relator Ministro Aroldo Cedraz)</w:t>
      </w:r>
    </w:p>
    <w:p w:rsidR="00F010B6" w:rsidRPr="006A50D3" w:rsidRDefault="00F010B6" w:rsidP="00F010B6">
      <w:pPr>
        <w:jc w:val="both"/>
        <w:rPr>
          <w:rFonts w:ascii="Arial" w:hAnsi="Arial" w:cs="Arial"/>
          <w:b/>
          <w:sz w:val="20"/>
          <w:szCs w:val="20"/>
        </w:rPr>
      </w:pPr>
      <w:r w:rsidRPr="006A50D3">
        <w:rPr>
          <w:rFonts w:ascii="Arial" w:hAnsi="Arial" w:cs="Arial"/>
          <w:b/>
          <w:sz w:val="20"/>
          <w:szCs w:val="20"/>
        </w:rPr>
        <w:t>Direito Processual. Sobrestamento de processo. Decisão judicial. STF. Débito. Imprescritibilidade.</w:t>
      </w:r>
    </w:p>
    <w:p w:rsidR="00F010B6" w:rsidRPr="00F010B6" w:rsidRDefault="00F010B6" w:rsidP="00F010B6">
      <w:pPr>
        <w:jc w:val="both"/>
        <w:rPr>
          <w:rFonts w:ascii="Arial" w:hAnsi="Arial" w:cs="Arial"/>
          <w:sz w:val="20"/>
          <w:szCs w:val="20"/>
        </w:rPr>
      </w:pPr>
      <w:r w:rsidRPr="00F010B6">
        <w:rPr>
          <w:rFonts w:ascii="Arial" w:hAnsi="Arial" w:cs="Arial"/>
          <w:sz w:val="20"/>
          <w:szCs w:val="20"/>
          <w:shd w:val="clear" w:color="auto" w:fill="FFFFFF"/>
          <w:lang w:eastAsia="pt-BR"/>
        </w:rPr>
        <w:t xml:space="preserve">A suspensão pelo STF das demandas nas quais estejam em questão a </w:t>
      </w:r>
      <w:proofErr w:type="spellStart"/>
      <w:r w:rsidRPr="00F010B6">
        <w:rPr>
          <w:rFonts w:ascii="Arial" w:hAnsi="Arial" w:cs="Arial"/>
          <w:sz w:val="20"/>
          <w:szCs w:val="20"/>
          <w:shd w:val="clear" w:color="auto" w:fill="FFFFFF"/>
          <w:lang w:eastAsia="pt-BR"/>
        </w:rPr>
        <w:t>prescritibilidade</w:t>
      </w:r>
      <w:proofErr w:type="spellEnd"/>
      <w:r w:rsidRPr="00F010B6">
        <w:rPr>
          <w:rFonts w:ascii="Arial" w:hAnsi="Arial" w:cs="Arial"/>
          <w:sz w:val="20"/>
          <w:szCs w:val="20"/>
          <w:shd w:val="clear" w:color="auto" w:fill="FFFFFF"/>
          <w:lang w:eastAsia="pt-BR"/>
        </w:rPr>
        <w:t xml:space="preserve"> da pretensão de ressarcimento ao erário em decorrência de ato de improbidade administrativa (RE 852.475/STF) não é motivo para o sobrestamento de processos, uma vez que alcança tão </w:t>
      </w:r>
      <w:r w:rsidRPr="00F010B6">
        <w:rPr>
          <w:rFonts w:ascii="Arial" w:hAnsi="Arial" w:cs="Arial"/>
          <w:sz w:val="20"/>
          <w:szCs w:val="20"/>
          <w:shd w:val="clear" w:color="auto" w:fill="FFFFFF"/>
          <w:lang w:eastAsia="pt-BR"/>
        </w:rPr>
        <w:lastRenderedPageBreak/>
        <w:t>somente a fase judicial de cobrança do título extrajudicial, não atingindo os processos de controle externo em trâmite.</w:t>
      </w:r>
    </w:p>
    <w:p w:rsidR="003B247E" w:rsidRPr="005D2F6B" w:rsidRDefault="00AD0DF9" w:rsidP="003B247E">
      <w:pPr>
        <w:widowControl w:val="0"/>
        <w:autoSpaceDE w:val="0"/>
        <w:autoSpaceDN w:val="0"/>
        <w:jc w:val="both"/>
        <w:rPr>
          <w:rFonts w:ascii="Arial" w:hAnsi="Arial" w:cs="Arial"/>
          <w:b/>
          <w:sz w:val="20"/>
          <w:szCs w:val="20"/>
        </w:rPr>
      </w:pPr>
      <w:hyperlink r:id="rId19" w:history="1">
        <w:r w:rsidR="003B247E" w:rsidRPr="00FD5AB6">
          <w:rPr>
            <w:rStyle w:val="Hyperlink"/>
            <w:rFonts w:ascii="Arial" w:hAnsi="Arial"/>
            <w:b/>
            <w:sz w:val="20"/>
            <w:szCs w:val="20"/>
          </w:rPr>
          <w:t>Acórdão 1043/2018</w:t>
        </w:r>
        <w:r w:rsidR="005E6DD4" w:rsidRPr="00FD5AB6">
          <w:rPr>
            <w:rStyle w:val="Hyperlink"/>
            <w:rFonts w:ascii="Arial" w:hAnsi="Arial"/>
            <w:b/>
            <w:sz w:val="20"/>
            <w:szCs w:val="20"/>
          </w:rPr>
          <w:t xml:space="preserve"> - </w:t>
        </w:r>
        <w:r w:rsidR="003B247E" w:rsidRPr="00FD5AB6">
          <w:rPr>
            <w:rStyle w:val="Hyperlink"/>
            <w:rFonts w:ascii="Arial" w:hAnsi="Arial"/>
            <w:b/>
            <w:sz w:val="20"/>
            <w:szCs w:val="20"/>
          </w:rPr>
          <w:t>Plenário</w:t>
        </w:r>
      </w:hyperlink>
      <w:r w:rsidR="003B247E" w:rsidRPr="005D2F6B">
        <w:rPr>
          <w:rFonts w:ascii="Arial" w:hAnsi="Arial"/>
          <w:b/>
          <w:sz w:val="20"/>
          <w:szCs w:val="20"/>
        </w:rPr>
        <w:t xml:space="preserve"> </w:t>
      </w:r>
      <w:r w:rsidR="003B247E" w:rsidRPr="005D2F6B">
        <w:rPr>
          <w:rFonts w:ascii="Arial" w:hAnsi="Arial"/>
          <w:sz w:val="20"/>
          <w:szCs w:val="20"/>
        </w:rPr>
        <w:t xml:space="preserve">(Embargos de Declaração, Relator Ministro José </w:t>
      </w:r>
      <w:proofErr w:type="spellStart"/>
      <w:r w:rsidR="003B247E" w:rsidRPr="005D2F6B">
        <w:rPr>
          <w:rFonts w:ascii="Arial" w:hAnsi="Arial"/>
          <w:sz w:val="20"/>
          <w:szCs w:val="20"/>
        </w:rPr>
        <w:t>Múcio</w:t>
      </w:r>
      <w:proofErr w:type="spellEnd"/>
      <w:r w:rsidR="003B247E" w:rsidRPr="005D2F6B">
        <w:rPr>
          <w:rFonts w:ascii="Arial" w:hAnsi="Arial"/>
          <w:sz w:val="20"/>
          <w:szCs w:val="20"/>
        </w:rPr>
        <w:t xml:space="preserve"> Monteiro)</w:t>
      </w:r>
    </w:p>
    <w:p w:rsidR="003B247E" w:rsidRPr="006A50D3" w:rsidRDefault="003B247E" w:rsidP="003B247E">
      <w:pPr>
        <w:jc w:val="both"/>
        <w:rPr>
          <w:rFonts w:ascii="Arial" w:hAnsi="Arial" w:cs="Arial"/>
          <w:b/>
          <w:sz w:val="20"/>
          <w:szCs w:val="20"/>
        </w:rPr>
      </w:pPr>
      <w:r w:rsidRPr="006A50D3">
        <w:rPr>
          <w:rFonts w:ascii="Arial" w:hAnsi="Arial"/>
          <w:b/>
          <w:sz w:val="20"/>
          <w:szCs w:val="20"/>
        </w:rPr>
        <w:t>Direito Processual. Embargos de declaração. Omissão. Sustentação oral.</w:t>
      </w:r>
    </w:p>
    <w:p w:rsidR="003B247E" w:rsidRPr="005D2F6B" w:rsidRDefault="003B247E" w:rsidP="003B247E">
      <w:pPr>
        <w:jc w:val="both"/>
        <w:rPr>
          <w:sz w:val="20"/>
          <w:szCs w:val="20"/>
        </w:rPr>
      </w:pPr>
      <w:r w:rsidRPr="005D2F6B">
        <w:rPr>
          <w:rFonts w:ascii="Arial" w:hAnsi="Arial"/>
          <w:sz w:val="20"/>
          <w:szCs w:val="20"/>
          <w:shd w:val="clear" w:color="auto" w:fill="FFFFFF"/>
        </w:rPr>
        <w:t xml:space="preserve">Não há omissão apta ao acolhimento de embargos de declaração pelo fato de a decisão recorrida não ter abordado novas alegações apresentadas em sustentação oral. </w:t>
      </w:r>
      <w:r w:rsidRPr="005D2F6B">
        <w:rPr>
          <w:rFonts w:ascii="Arial" w:hAnsi="Arial"/>
          <w:sz w:val="20"/>
          <w:szCs w:val="20"/>
        </w:rPr>
        <w:t>O julgador não está compelido a considerar novas alegações da parte proferidas na sessão, sob pena de subverter a existência de prazo regimental para apresentação de defesa e a própria instrução do processo.</w:t>
      </w:r>
    </w:p>
    <w:p w:rsidR="007249BF" w:rsidRPr="007249BF" w:rsidRDefault="00AD0DF9" w:rsidP="007249BF">
      <w:pPr>
        <w:widowControl w:val="0"/>
        <w:autoSpaceDE w:val="0"/>
        <w:autoSpaceDN w:val="0"/>
        <w:jc w:val="both"/>
        <w:rPr>
          <w:rFonts w:ascii="Arial" w:hAnsi="Arial" w:cs="Arial"/>
          <w:b/>
          <w:sz w:val="20"/>
          <w:szCs w:val="20"/>
        </w:rPr>
      </w:pPr>
      <w:hyperlink r:id="rId20" w:history="1">
        <w:r w:rsidR="007249BF" w:rsidRPr="00225AE0">
          <w:rPr>
            <w:rStyle w:val="Hyperlink"/>
            <w:rFonts w:ascii="Arial" w:hAnsi="Arial" w:cs="Arial"/>
            <w:b/>
            <w:sz w:val="20"/>
            <w:szCs w:val="20"/>
          </w:rPr>
          <w:t xml:space="preserve">Acórdão 1048/2018 </w:t>
        </w:r>
        <w:r w:rsidR="006A50D3" w:rsidRPr="00225AE0">
          <w:rPr>
            <w:rStyle w:val="Hyperlink"/>
            <w:rFonts w:ascii="Arial" w:hAnsi="Arial" w:cs="Arial"/>
            <w:b/>
            <w:sz w:val="20"/>
            <w:szCs w:val="20"/>
          </w:rPr>
          <w:t xml:space="preserve">- </w:t>
        </w:r>
        <w:r w:rsidR="007249BF" w:rsidRPr="00225AE0">
          <w:rPr>
            <w:rStyle w:val="Hyperlink"/>
            <w:rFonts w:ascii="Arial" w:hAnsi="Arial" w:cs="Arial"/>
            <w:b/>
            <w:sz w:val="20"/>
            <w:szCs w:val="20"/>
          </w:rPr>
          <w:t>Plenário</w:t>
        </w:r>
      </w:hyperlink>
      <w:r w:rsidR="007249BF" w:rsidRPr="007249BF">
        <w:rPr>
          <w:rFonts w:ascii="Arial" w:hAnsi="Arial" w:cs="Arial"/>
          <w:b/>
          <w:sz w:val="20"/>
          <w:szCs w:val="20"/>
        </w:rPr>
        <w:t xml:space="preserve"> </w:t>
      </w:r>
      <w:r w:rsidR="007249BF" w:rsidRPr="007249BF">
        <w:rPr>
          <w:rFonts w:ascii="Arial" w:hAnsi="Arial" w:cs="Arial"/>
          <w:sz w:val="20"/>
          <w:szCs w:val="20"/>
        </w:rPr>
        <w:t>(Representação, Relator Ministro Bruno Dantas)</w:t>
      </w:r>
    </w:p>
    <w:p w:rsidR="007249BF" w:rsidRPr="006A50D3" w:rsidRDefault="007249BF" w:rsidP="007249BF">
      <w:pPr>
        <w:jc w:val="both"/>
        <w:rPr>
          <w:rFonts w:ascii="Arial" w:hAnsi="Arial" w:cs="Arial"/>
          <w:b/>
          <w:sz w:val="20"/>
          <w:szCs w:val="20"/>
        </w:rPr>
      </w:pPr>
      <w:r w:rsidRPr="006A50D3">
        <w:rPr>
          <w:rFonts w:ascii="Arial" w:hAnsi="Arial" w:cs="Arial"/>
          <w:b/>
          <w:sz w:val="20"/>
          <w:szCs w:val="20"/>
        </w:rPr>
        <w:t>Finanças Públicas. SUS. Recursos financeiros. Limite mínimo. Saúde pública. Restos a pagar. Dotação orçamentária.</w:t>
      </w:r>
    </w:p>
    <w:p w:rsidR="007249BF" w:rsidRPr="007249BF" w:rsidRDefault="007249BF" w:rsidP="007249BF">
      <w:pPr>
        <w:shd w:val="clear" w:color="auto" w:fill="FFFFFF"/>
        <w:jc w:val="both"/>
        <w:rPr>
          <w:rFonts w:ascii="Arial" w:hAnsi="Arial" w:cs="Arial"/>
          <w:bCs/>
          <w:color w:val="365F91" w:themeColor="accent1" w:themeShade="BF"/>
          <w:sz w:val="20"/>
          <w:szCs w:val="20"/>
          <w:lang w:eastAsia="pt-BR"/>
        </w:rPr>
      </w:pPr>
      <w:r w:rsidRPr="007249BF">
        <w:rPr>
          <w:rFonts w:ascii="Arial" w:hAnsi="Arial" w:cs="Arial"/>
          <w:sz w:val="20"/>
          <w:szCs w:val="20"/>
        </w:rPr>
        <w:t xml:space="preserve">Não cabe exigência de compensação caso o cancelamento de restos a pagar do exercício de competência seja inferior ao valor que excedeu o mínimo efetivamente aplicado em ações e serviços públicos de saúde no mesmo exercício, uma vez que a compensação assegurada pelo art. 24, §§ 1º e 2º, da </w:t>
      </w:r>
      <w:hyperlink r:id="rId21" w:tgtFrame="_blank" w:history="1">
        <w:r w:rsidRPr="007249BF">
          <w:rPr>
            <w:rFonts w:ascii="Arial" w:hAnsi="Arial" w:cs="Arial"/>
            <w:color w:val="0000FF" w:themeColor="hyperlink"/>
            <w:sz w:val="20"/>
            <w:szCs w:val="20"/>
            <w:shd w:val="clear" w:color="auto" w:fill="FFFFFF"/>
          </w:rPr>
          <w:t>LC 141/2012</w:t>
        </w:r>
      </w:hyperlink>
      <w:r w:rsidRPr="007249BF">
        <w:rPr>
          <w:rFonts w:ascii="Arial" w:hAnsi="Arial" w:cs="Arial"/>
          <w:sz w:val="20"/>
          <w:szCs w:val="20"/>
        </w:rPr>
        <w:t xml:space="preserve"> refere-se apenas a cancelamento e/ou prescrição de restos a pagar considerados para fins de cálculo do mínimo constitucional.</w:t>
      </w:r>
    </w:p>
    <w:p w:rsidR="0064335E" w:rsidRPr="0064335E" w:rsidRDefault="00AD0DF9" w:rsidP="0064335E">
      <w:pPr>
        <w:widowControl w:val="0"/>
        <w:autoSpaceDE w:val="0"/>
        <w:autoSpaceDN w:val="0"/>
        <w:jc w:val="both"/>
        <w:rPr>
          <w:rFonts w:ascii="Arial" w:hAnsi="Arial" w:cs="Arial"/>
          <w:b/>
          <w:sz w:val="20"/>
          <w:szCs w:val="20"/>
        </w:rPr>
      </w:pPr>
      <w:hyperlink r:id="rId22" w:history="1">
        <w:r w:rsidR="0064335E" w:rsidRPr="008D5BAF">
          <w:rPr>
            <w:rStyle w:val="Hyperlink"/>
            <w:rFonts w:ascii="Arial" w:hAnsi="Arial"/>
            <w:b/>
            <w:sz w:val="20"/>
            <w:szCs w:val="20"/>
          </w:rPr>
          <w:t>Acórdão 4423/2018</w:t>
        </w:r>
        <w:r w:rsidR="00EB0FE3" w:rsidRPr="008D5BAF">
          <w:rPr>
            <w:rStyle w:val="Hyperlink"/>
            <w:rFonts w:ascii="Arial" w:hAnsi="Arial"/>
            <w:b/>
            <w:sz w:val="20"/>
            <w:szCs w:val="20"/>
          </w:rPr>
          <w:t xml:space="preserve"> - </w:t>
        </w:r>
        <w:r w:rsidR="0064335E" w:rsidRPr="008D5BAF">
          <w:rPr>
            <w:rStyle w:val="Hyperlink"/>
            <w:rFonts w:ascii="Arial" w:hAnsi="Arial"/>
            <w:b/>
            <w:sz w:val="20"/>
            <w:szCs w:val="20"/>
          </w:rPr>
          <w:t>Primeira Câmara</w:t>
        </w:r>
      </w:hyperlink>
      <w:r w:rsidR="0064335E" w:rsidRPr="0064335E">
        <w:rPr>
          <w:rFonts w:ascii="Arial" w:hAnsi="Arial"/>
          <w:b/>
          <w:sz w:val="20"/>
          <w:szCs w:val="20"/>
        </w:rPr>
        <w:t xml:space="preserve"> </w:t>
      </w:r>
      <w:r w:rsidR="0064335E" w:rsidRPr="0064335E">
        <w:rPr>
          <w:rFonts w:ascii="Arial" w:hAnsi="Arial"/>
          <w:sz w:val="20"/>
          <w:szCs w:val="20"/>
        </w:rPr>
        <w:t xml:space="preserve">(Recurso de Reconsideração, Relator Ministro Benjamin </w:t>
      </w:r>
      <w:proofErr w:type="spellStart"/>
      <w:r w:rsidR="0064335E" w:rsidRPr="0064335E">
        <w:rPr>
          <w:rFonts w:ascii="Arial" w:hAnsi="Arial"/>
          <w:sz w:val="20"/>
          <w:szCs w:val="20"/>
        </w:rPr>
        <w:t>Zymler</w:t>
      </w:r>
      <w:proofErr w:type="spellEnd"/>
      <w:r w:rsidR="0064335E" w:rsidRPr="0064335E">
        <w:rPr>
          <w:rFonts w:ascii="Arial" w:hAnsi="Arial"/>
          <w:sz w:val="20"/>
          <w:szCs w:val="20"/>
        </w:rPr>
        <w:t>)</w:t>
      </w:r>
    </w:p>
    <w:p w:rsidR="0064335E" w:rsidRPr="006A50D3" w:rsidRDefault="0064335E" w:rsidP="0064335E">
      <w:pPr>
        <w:jc w:val="both"/>
        <w:rPr>
          <w:rFonts w:ascii="Arial" w:hAnsi="Arial" w:cs="Arial"/>
          <w:b/>
          <w:sz w:val="20"/>
          <w:szCs w:val="20"/>
        </w:rPr>
      </w:pPr>
      <w:r w:rsidRPr="006A50D3">
        <w:rPr>
          <w:rFonts w:ascii="Arial" w:hAnsi="Arial"/>
          <w:b/>
          <w:sz w:val="20"/>
          <w:szCs w:val="20"/>
        </w:rPr>
        <w:t>Responsabilidade. Convênio. Débito. Solidariedade. Agente privado. Prestação de contas.</w:t>
      </w:r>
    </w:p>
    <w:p w:rsidR="0064335E" w:rsidRDefault="0064335E" w:rsidP="0064335E">
      <w:pPr>
        <w:pStyle w:val="TCU-Epgrafe"/>
        <w:spacing w:after="200" w:line="276" w:lineRule="auto"/>
        <w:ind w:left="0"/>
        <w:rPr>
          <w:rFonts w:ascii="Arial" w:hAnsi="Arial"/>
          <w:sz w:val="20"/>
        </w:rPr>
      </w:pPr>
      <w:r w:rsidRPr="0064335E">
        <w:rPr>
          <w:rFonts w:ascii="Arial" w:hAnsi="Arial"/>
          <w:sz w:val="20"/>
        </w:rPr>
        <w:t>Quando o débito decorre da não demonstração da correta aplicação dos recursos do convênio, e não de irregularidades na execução do contrato gerido pelo convenente, não cabe imputar responsabilidade ao contratado, uma vez que, diferentemente do gestor, que possui o ônus de demonstrar a boa e regular aplicação dos recursos públicos, o contratado não é responsável pela prestação de contas.</w:t>
      </w:r>
    </w:p>
    <w:p w:rsidR="00E7695E" w:rsidRPr="00E7695E" w:rsidRDefault="00AD0DF9" w:rsidP="00E7695E">
      <w:pPr>
        <w:widowControl w:val="0"/>
        <w:autoSpaceDE w:val="0"/>
        <w:autoSpaceDN w:val="0"/>
        <w:jc w:val="both"/>
        <w:rPr>
          <w:rFonts w:ascii="Arial" w:hAnsi="Arial" w:cs="Arial"/>
          <w:b/>
          <w:sz w:val="20"/>
          <w:szCs w:val="20"/>
        </w:rPr>
      </w:pPr>
      <w:hyperlink r:id="rId23" w:history="1">
        <w:r w:rsidR="00E7695E" w:rsidRPr="006C212C">
          <w:rPr>
            <w:rStyle w:val="Hyperlink"/>
            <w:rFonts w:ascii="Arial" w:hAnsi="Arial" w:cs="Arial"/>
            <w:b/>
            <w:sz w:val="20"/>
            <w:szCs w:val="20"/>
          </w:rPr>
          <w:t xml:space="preserve">Acórdão 4434/2018 </w:t>
        </w:r>
        <w:r w:rsidR="006C212C" w:rsidRPr="006C212C">
          <w:rPr>
            <w:rStyle w:val="Hyperlink"/>
            <w:rFonts w:ascii="Arial" w:hAnsi="Arial" w:cs="Arial"/>
            <w:b/>
            <w:sz w:val="20"/>
            <w:szCs w:val="20"/>
          </w:rPr>
          <w:t xml:space="preserve">- </w:t>
        </w:r>
        <w:r w:rsidR="00E7695E" w:rsidRPr="006C212C">
          <w:rPr>
            <w:rStyle w:val="Hyperlink"/>
            <w:rFonts w:ascii="Arial" w:hAnsi="Arial" w:cs="Arial"/>
            <w:b/>
            <w:sz w:val="20"/>
            <w:szCs w:val="20"/>
          </w:rPr>
          <w:t>Primeira Câmara</w:t>
        </w:r>
      </w:hyperlink>
      <w:r w:rsidR="00E7695E" w:rsidRPr="00E7695E">
        <w:rPr>
          <w:rFonts w:ascii="Arial" w:hAnsi="Arial" w:cs="Arial"/>
          <w:b/>
          <w:sz w:val="20"/>
          <w:szCs w:val="20"/>
        </w:rPr>
        <w:t xml:space="preserve"> </w:t>
      </w:r>
      <w:r w:rsidR="00E7695E" w:rsidRPr="00E7695E">
        <w:rPr>
          <w:rFonts w:ascii="Arial" w:hAnsi="Arial" w:cs="Arial"/>
          <w:sz w:val="20"/>
          <w:szCs w:val="20"/>
        </w:rPr>
        <w:t>(Recurso de Reconsideração, Relator Ministro Bruno Dantas)</w:t>
      </w:r>
    </w:p>
    <w:p w:rsidR="00E7695E" w:rsidRPr="006A50D3" w:rsidRDefault="00E7695E" w:rsidP="00E7695E">
      <w:pPr>
        <w:jc w:val="both"/>
        <w:rPr>
          <w:rFonts w:ascii="Arial" w:hAnsi="Arial" w:cs="Arial"/>
          <w:b/>
          <w:sz w:val="20"/>
          <w:szCs w:val="20"/>
        </w:rPr>
      </w:pPr>
      <w:r w:rsidRPr="006A50D3">
        <w:rPr>
          <w:rFonts w:ascii="Arial" w:hAnsi="Arial" w:cs="Arial"/>
          <w:b/>
          <w:sz w:val="20"/>
          <w:szCs w:val="20"/>
        </w:rPr>
        <w:t>Direito Processual. Citação. Validade. Nulidade. Relator. Competência recursal.</w:t>
      </w:r>
    </w:p>
    <w:p w:rsidR="00E7695E" w:rsidRPr="00E7695E" w:rsidRDefault="00E7695E" w:rsidP="00E7695E">
      <w:pPr>
        <w:pStyle w:val="Default"/>
        <w:spacing w:after="200" w:line="276" w:lineRule="auto"/>
        <w:jc w:val="both"/>
        <w:rPr>
          <w:sz w:val="20"/>
          <w:szCs w:val="20"/>
        </w:rPr>
      </w:pPr>
      <w:r w:rsidRPr="00E7695E">
        <w:rPr>
          <w:sz w:val="20"/>
          <w:szCs w:val="20"/>
        </w:rPr>
        <w:t xml:space="preserve">Reconhecida, em sede recursal, a nulidade da citação, não cabe a renovação da comunicação processual pelo relator do recurso, mas o retorno do processo ao relator </w:t>
      </w:r>
      <w:r w:rsidRPr="00E7695E">
        <w:rPr>
          <w:i/>
          <w:sz w:val="20"/>
          <w:szCs w:val="20"/>
        </w:rPr>
        <w:t>a quo</w:t>
      </w:r>
      <w:r w:rsidRPr="00E7695E">
        <w:rPr>
          <w:sz w:val="20"/>
          <w:szCs w:val="20"/>
        </w:rPr>
        <w:t xml:space="preserve"> para a adoção das providências cabíveis, pois todos os atos processuais posteriores à citação, inclusive o acórdão recorrido, são igualmente nulos.</w:t>
      </w:r>
    </w:p>
    <w:p w:rsidR="00AC0EA6" w:rsidRPr="00AC0EA6" w:rsidRDefault="00AD0DF9" w:rsidP="00AC0EA6">
      <w:pPr>
        <w:widowControl w:val="0"/>
        <w:autoSpaceDE w:val="0"/>
        <w:autoSpaceDN w:val="0"/>
        <w:jc w:val="both"/>
        <w:rPr>
          <w:rFonts w:ascii="Arial" w:hAnsi="Arial" w:cs="Arial"/>
          <w:b/>
          <w:sz w:val="20"/>
          <w:szCs w:val="20"/>
        </w:rPr>
      </w:pPr>
      <w:hyperlink r:id="rId24" w:history="1">
        <w:r w:rsidR="00AC0EA6" w:rsidRPr="000566C8">
          <w:rPr>
            <w:rStyle w:val="Hyperlink"/>
            <w:rFonts w:ascii="Arial" w:hAnsi="Arial" w:cs="Arial"/>
            <w:b/>
            <w:sz w:val="20"/>
            <w:szCs w:val="20"/>
          </w:rPr>
          <w:t xml:space="preserve">Acórdão 4434/2018 </w:t>
        </w:r>
        <w:r w:rsidR="000566C8">
          <w:rPr>
            <w:rStyle w:val="Hyperlink"/>
            <w:rFonts w:ascii="Arial" w:hAnsi="Arial" w:cs="Arial"/>
            <w:b/>
            <w:sz w:val="20"/>
            <w:szCs w:val="20"/>
          </w:rPr>
          <w:t xml:space="preserve">- </w:t>
        </w:r>
        <w:r w:rsidR="00AC0EA6" w:rsidRPr="000566C8">
          <w:rPr>
            <w:rStyle w:val="Hyperlink"/>
            <w:rFonts w:ascii="Arial" w:hAnsi="Arial" w:cs="Arial"/>
            <w:b/>
            <w:sz w:val="20"/>
            <w:szCs w:val="20"/>
          </w:rPr>
          <w:t>Primeira Câmara</w:t>
        </w:r>
      </w:hyperlink>
      <w:r w:rsidR="00AC0EA6" w:rsidRPr="00AC0EA6">
        <w:rPr>
          <w:rFonts w:ascii="Arial" w:hAnsi="Arial" w:cs="Arial"/>
          <w:b/>
          <w:sz w:val="20"/>
          <w:szCs w:val="20"/>
        </w:rPr>
        <w:t xml:space="preserve"> </w:t>
      </w:r>
      <w:r w:rsidR="00AC0EA6" w:rsidRPr="00AC0EA6">
        <w:rPr>
          <w:rFonts w:ascii="Arial" w:hAnsi="Arial" w:cs="Arial"/>
          <w:sz w:val="20"/>
          <w:szCs w:val="20"/>
        </w:rPr>
        <w:t xml:space="preserve">(Recurso de Reconsideração, Relator Ministro Bruno </w:t>
      </w:r>
      <w:r w:rsidR="00AC0EA6" w:rsidRPr="00AC0EA6">
        <w:rPr>
          <w:rFonts w:ascii="Arial" w:hAnsi="Arial" w:cs="Arial"/>
          <w:sz w:val="20"/>
          <w:szCs w:val="20"/>
        </w:rPr>
        <w:lastRenderedPageBreak/>
        <w:t>Dantas)</w:t>
      </w:r>
    </w:p>
    <w:p w:rsidR="00AC0EA6" w:rsidRPr="006A50D3" w:rsidRDefault="00AC0EA6" w:rsidP="00AC0EA6">
      <w:pPr>
        <w:jc w:val="both"/>
        <w:rPr>
          <w:rFonts w:ascii="Arial" w:hAnsi="Arial" w:cs="Arial"/>
          <w:b/>
          <w:sz w:val="20"/>
          <w:szCs w:val="20"/>
        </w:rPr>
      </w:pPr>
      <w:r w:rsidRPr="006A50D3">
        <w:rPr>
          <w:rFonts w:ascii="Arial" w:hAnsi="Arial" w:cs="Arial"/>
          <w:b/>
          <w:sz w:val="20"/>
          <w:szCs w:val="20"/>
        </w:rPr>
        <w:t>Direito Processual. Citação. Validade. Procuração. Cláusula. Nulidade.</w:t>
      </w:r>
    </w:p>
    <w:p w:rsidR="00AC0EA6" w:rsidRPr="00AC0EA6" w:rsidRDefault="00AC0EA6" w:rsidP="00AC0EA6">
      <w:pPr>
        <w:pStyle w:val="Default"/>
        <w:spacing w:after="200" w:line="276" w:lineRule="auto"/>
        <w:jc w:val="both"/>
        <w:rPr>
          <w:sz w:val="20"/>
          <w:szCs w:val="20"/>
        </w:rPr>
      </w:pPr>
      <w:r w:rsidRPr="00AC0EA6">
        <w:rPr>
          <w:sz w:val="20"/>
          <w:szCs w:val="20"/>
        </w:rPr>
        <w:t>É nula a citação realizada na pessoa do procurador constituído quando ausente, na procuração, cláusula conferindo poderes expressos para receber citações em nome do representado.</w:t>
      </w:r>
    </w:p>
    <w:p w:rsidR="002E00A5" w:rsidRPr="002E00A5" w:rsidRDefault="00AD0DF9" w:rsidP="002E00A5">
      <w:pPr>
        <w:widowControl w:val="0"/>
        <w:autoSpaceDE w:val="0"/>
        <w:autoSpaceDN w:val="0"/>
        <w:jc w:val="both"/>
        <w:rPr>
          <w:rFonts w:ascii="Arial" w:hAnsi="Arial" w:cs="Arial"/>
          <w:b/>
          <w:sz w:val="20"/>
          <w:szCs w:val="20"/>
        </w:rPr>
      </w:pPr>
      <w:hyperlink r:id="rId25" w:history="1">
        <w:r w:rsidR="002E00A5" w:rsidRPr="009C2976">
          <w:rPr>
            <w:rStyle w:val="Hyperlink"/>
            <w:rFonts w:ascii="Arial" w:hAnsi="Arial"/>
            <w:b/>
            <w:sz w:val="20"/>
            <w:szCs w:val="20"/>
          </w:rPr>
          <w:t>Acórdão 3477/2018</w:t>
        </w:r>
        <w:r w:rsidR="009C2976" w:rsidRPr="009C2976">
          <w:rPr>
            <w:rStyle w:val="Hyperlink"/>
            <w:rFonts w:ascii="Arial" w:hAnsi="Arial"/>
            <w:b/>
            <w:sz w:val="20"/>
            <w:szCs w:val="20"/>
          </w:rPr>
          <w:t xml:space="preserve"> - </w:t>
        </w:r>
        <w:r w:rsidR="002E00A5" w:rsidRPr="009C2976">
          <w:rPr>
            <w:rStyle w:val="Hyperlink"/>
            <w:rFonts w:ascii="Arial" w:hAnsi="Arial"/>
            <w:b/>
            <w:sz w:val="20"/>
            <w:szCs w:val="20"/>
          </w:rPr>
          <w:t>Segunda Câmara</w:t>
        </w:r>
      </w:hyperlink>
      <w:r w:rsidR="002E00A5" w:rsidRPr="002E00A5">
        <w:rPr>
          <w:rFonts w:ascii="Arial" w:hAnsi="Arial"/>
          <w:b/>
          <w:sz w:val="20"/>
          <w:szCs w:val="20"/>
        </w:rPr>
        <w:t xml:space="preserve"> </w:t>
      </w:r>
      <w:r w:rsidR="002E00A5" w:rsidRPr="002E00A5">
        <w:rPr>
          <w:rFonts w:ascii="Arial" w:hAnsi="Arial"/>
          <w:sz w:val="20"/>
          <w:szCs w:val="20"/>
        </w:rPr>
        <w:t>(Representação, Relator Ministro Aroldo Cedraz)</w:t>
      </w:r>
    </w:p>
    <w:p w:rsidR="002E00A5" w:rsidRPr="006A50D3" w:rsidRDefault="002E00A5" w:rsidP="002E00A5">
      <w:pPr>
        <w:jc w:val="both"/>
        <w:rPr>
          <w:rFonts w:ascii="Arial" w:hAnsi="Arial" w:cs="Arial"/>
          <w:b/>
          <w:sz w:val="20"/>
          <w:szCs w:val="20"/>
        </w:rPr>
      </w:pPr>
      <w:r w:rsidRPr="006A50D3">
        <w:rPr>
          <w:rFonts w:ascii="Arial" w:hAnsi="Arial"/>
          <w:b/>
          <w:sz w:val="20"/>
          <w:szCs w:val="20"/>
        </w:rPr>
        <w:t>Direito Processual. Julgamento. Fundamentação. Abrangência. Código de Processo Civil.</w:t>
      </w:r>
    </w:p>
    <w:p w:rsidR="002E00A5" w:rsidRPr="002E00A5" w:rsidRDefault="002E00A5" w:rsidP="002E00A5">
      <w:pPr>
        <w:pStyle w:val="TCU-Epgrafe"/>
        <w:spacing w:after="200" w:line="276" w:lineRule="auto"/>
        <w:ind w:left="0"/>
        <w:rPr>
          <w:sz w:val="20"/>
        </w:rPr>
      </w:pPr>
      <w:r w:rsidRPr="002E00A5">
        <w:rPr>
          <w:rFonts w:ascii="Arial" w:hAnsi="Arial"/>
          <w:sz w:val="20"/>
        </w:rPr>
        <w:t xml:space="preserve">Ao relator cumpre apreciar a matéria em discussão nos autos de acordo com os aspectos e teses pertinentes à solução da controvérsia, não estando obrigado a rechaçar, um a um, os argumentos expendidos pela parte, quando os fundamentos utilizados já lhe tenham sido suficientes para formar sua razão de decidir, entendimento esse que se coaduna com o art. 489, § 1⁰, inciso IV, da </w:t>
      </w:r>
      <w:hyperlink r:id="rId26" w:history="1">
        <w:r w:rsidRPr="002E00A5">
          <w:rPr>
            <w:rStyle w:val="Hyperlink"/>
            <w:rFonts w:ascii="Arial" w:hAnsi="Arial"/>
            <w:color w:val="0000FF" w:themeColor="hyperlink"/>
            <w:sz w:val="20"/>
          </w:rPr>
          <w:t>Lei 13.105/2015</w:t>
        </w:r>
      </w:hyperlink>
      <w:r w:rsidRPr="002E00A5">
        <w:rPr>
          <w:rFonts w:ascii="Arial" w:hAnsi="Arial"/>
          <w:sz w:val="20"/>
        </w:rPr>
        <w:t xml:space="preserve"> (CPC). </w:t>
      </w:r>
    </w:p>
    <w:p w:rsidR="00C2772A" w:rsidRPr="00C2772A" w:rsidRDefault="00AD0DF9" w:rsidP="00C2772A">
      <w:pPr>
        <w:widowControl w:val="0"/>
        <w:autoSpaceDE w:val="0"/>
        <w:autoSpaceDN w:val="0"/>
        <w:jc w:val="both"/>
        <w:rPr>
          <w:rFonts w:ascii="Arial" w:hAnsi="Arial" w:cs="Arial"/>
          <w:b/>
          <w:sz w:val="20"/>
          <w:szCs w:val="20"/>
        </w:rPr>
      </w:pPr>
      <w:hyperlink r:id="rId27" w:history="1">
        <w:r w:rsidR="00C2772A" w:rsidRPr="00046489">
          <w:rPr>
            <w:rStyle w:val="Hyperlink"/>
            <w:rFonts w:ascii="Arial" w:hAnsi="Arial" w:cs="Arial"/>
            <w:b/>
            <w:sz w:val="20"/>
            <w:szCs w:val="20"/>
          </w:rPr>
          <w:t xml:space="preserve">Acórdão 3474/2018 </w:t>
        </w:r>
        <w:r w:rsidR="00046489" w:rsidRPr="00046489">
          <w:rPr>
            <w:rStyle w:val="Hyperlink"/>
            <w:rFonts w:ascii="Arial" w:hAnsi="Arial" w:cs="Arial"/>
            <w:b/>
            <w:sz w:val="20"/>
            <w:szCs w:val="20"/>
          </w:rPr>
          <w:t xml:space="preserve">- </w:t>
        </w:r>
        <w:r w:rsidR="00C2772A" w:rsidRPr="00046489">
          <w:rPr>
            <w:rStyle w:val="Hyperlink"/>
            <w:rFonts w:ascii="Arial" w:hAnsi="Arial" w:cs="Arial"/>
            <w:b/>
            <w:sz w:val="20"/>
            <w:szCs w:val="20"/>
          </w:rPr>
          <w:t>Segunda Câmara</w:t>
        </w:r>
      </w:hyperlink>
      <w:r w:rsidR="00C2772A" w:rsidRPr="00C2772A">
        <w:rPr>
          <w:rFonts w:ascii="Arial" w:hAnsi="Arial" w:cs="Arial"/>
          <w:b/>
          <w:sz w:val="20"/>
          <w:szCs w:val="20"/>
        </w:rPr>
        <w:t xml:space="preserve"> </w:t>
      </w:r>
      <w:r w:rsidR="00C2772A" w:rsidRPr="00C2772A">
        <w:rPr>
          <w:rFonts w:ascii="Arial" w:hAnsi="Arial" w:cs="Arial"/>
          <w:sz w:val="20"/>
          <w:szCs w:val="20"/>
        </w:rPr>
        <w:t>(Representação, Relator Ministro-Substituto André de Carvalho)</w:t>
      </w:r>
    </w:p>
    <w:p w:rsidR="00C2772A" w:rsidRPr="006A50D3" w:rsidRDefault="00C2772A" w:rsidP="00C2772A">
      <w:pPr>
        <w:jc w:val="both"/>
        <w:rPr>
          <w:rFonts w:ascii="Arial" w:hAnsi="Arial" w:cs="Arial"/>
          <w:b/>
          <w:sz w:val="20"/>
          <w:szCs w:val="20"/>
        </w:rPr>
      </w:pPr>
      <w:r w:rsidRPr="006A50D3">
        <w:rPr>
          <w:rFonts w:ascii="Arial" w:hAnsi="Arial" w:cs="Arial"/>
          <w:b/>
          <w:sz w:val="20"/>
          <w:szCs w:val="20"/>
        </w:rPr>
        <w:t>Licitação. Planejamento. Estudo de viabilidade. Serviço de transporte individual privado de passageiros.</w:t>
      </w:r>
    </w:p>
    <w:p w:rsidR="00C2772A" w:rsidRPr="00C2772A" w:rsidRDefault="00C2772A" w:rsidP="00C2772A">
      <w:pPr>
        <w:pStyle w:val="TCU-Epgrafe"/>
        <w:spacing w:after="200" w:line="276" w:lineRule="auto"/>
        <w:ind w:left="0"/>
        <w:rPr>
          <w:rFonts w:ascii="Arial" w:hAnsi="Arial" w:cs="Arial"/>
          <w:sz w:val="20"/>
        </w:rPr>
      </w:pPr>
      <w:r w:rsidRPr="00C2772A">
        <w:rPr>
          <w:rFonts w:ascii="Arial" w:hAnsi="Arial" w:cs="Arial"/>
          <w:sz w:val="20"/>
        </w:rPr>
        <w:t xml:space="preserve">Na aquisição do agenciamento de transporte terrestre de passageiros, a Administração deve prever expressamente a possibilidade de contratação dos serviços de transporte individual privado de passageiros sob a tecnologia de comunicação em rede (STIP), a exemplo do Uber e do </w:t>
      </w:r>
      <w:proofErr w:type="spellStart"/>
      <w:r w:rsidRPr="00C2772A">
        <w:rPr>
          <w:rFonts w:ascii="Arial" w:hAnsi="Arial" w:cs="Arial"/>
          <w:sz w:val="20"/>
        </w:rPr>
        <w:t>Cabify</w:t>
      </w:r>
      <w:proofErr w:type="spellEnd"/>
      <w:r w:rsidRPr="00C2772A">
        <w:rPr>
          <w:rFonts w:ascii="Arial" w:hAnsi="Arial" w:cs="Arial"/>
          <w:sz w:val="20"/>
        </w:rPr>
        <w:t xml:space="preserve">, entre outros, devendo demonstrar a eventual inviabilidade dessa medida, com a necessária fundamentação técnico-econômica, sob pena de incorrer em indevida restrição da competitividade no certame, contrariando o art. 3º, § 1º, inciso I, da </w:t>
      </w:r>
      <w:hyperlink r:id="rId28" w:tgtFrame="_blank" w:history="1">
        <w:r w:rsidRPr="00C2772A">
          <w:rPr>
            <w:rStyle w:val="Hyperlink"/>
            <w:rFonts w:ascii="Arial" w:hAnsi="Arial" w:cs="Arial"/>
            <w:color w:val="0000FF" w:themeColor="hyperlink"/>
            <w:sz w:val="20"/>
          </w:rPr>
          <w:t>Lei 8.666/1993</w:t>
        </w:r>
      </w:hyperlink>
      <w:r w:rsidRPr="00C2772A">
        <w:rPr>
          <w:rFonts w:ascii="Arial" w:hAnsi="Arial" w:cs="Arial"/>
          <w:sz w:val="20"/>
        </w:rPr>
        <w:t>.</w:t>
      </w:r>
    </w:p>
    <w:p w:rsidR="00C2772A" w:rsidRPr="00C2772A" w:rsidRDefault="00AD0DF9" w:rsidP="00C2772A">
      <w:pPr>
        <w:widowControl w:val="0"/>
        <w:autoSpaceDE w:val="0"/>
        <w:autoSpaceDN w:val="0"/>
        <w:jc w:val="both"/>
        <w:rPr>
          <w:rFonts w:ascii="Arial" w:hAnsi="Arial" w:cs="Arial"/>
          <w:b/>
          <w:sz w:val="20"/>
          <w:szCs w:val="20"/>
        </w:rPr>
      </w:pPr>
      <w:hyperlink r:id="rId29" w:history="1">
        <w:r w:rsidR="00C2772A" w:rsidRPr="00A44B78">
          <w:rPr>
            <w:rStyle w:val="Hyperlink"/>
            <w:rFonts w:ascii="Arial" w:hAnsi="Arial" w:cs="Arial"/>
            <w:b/>
            <w:sz w:val="20"/>
            <w:szCs w:val="20"/>
          </w:rPr>
          <w:t xml:space="preserve">Acórdão 3474/2018 </w:t>
        </w:r>
        <w:r w:rsidR="00915251" w:rsidRPr="00A44B78">
          <w:rPr>
            <w:rStyle w:val="Hyperlink"/>
            <w:rFonts w:ascii="Arial" w:hAnsi="Arial" w:cs="Arial"/>
            <w:b/>
            <w:sz w:val="20"/>
            <w:szCs w:val="20"/>
          </w:rPr>
          <w:t xml:space="preserve">- </w:t>
        </w:r>
        <w:r w:rsidR="00C2772A" w:rsidRPr="00A44B78">
          <w:rPr>
            <w:rStyle w:val="Hyperlink"/>
            <w:rFonts w:ascii="Arial" w:hAnsi="Arial" w:cs="Arial"/>
            <w:b/>
            <w:sz w:val="20"/>
            <w:szCs w:val="20"/>
          </w:rPr>
          <w:t>Segunda Câmara</w:t>
        </w:r>
      </w:hyperlink>
      <w:r w:rsidR="00C2772A" w:rsidRPr="00C2772A">
        <w:rPr>
          <w:rFonts w:ascii="Arial" w:hAnsi="Arial" w:cs="Arial"/>
          <w:b/>
          <w:sz w:val="20"/>
          <w:szCs w:val="20"/>
        </w:rPr>
        <w:t xml:space="preserve"> </w:t>
      </w:r>
      <w:r w:rsidR="00C2772A" w:rsidRPr="00C2772A">
        <w:rPr>
          <w:rFonts w:ascii="Arial" w:hAnsi="Arial" w:cs="Arial"/>
          <w:sz w:val="20"/>
          <w:szCs w:val="20"/>
        </w:rPr>
        <w:t>(Representação, Relator Ministro-Substituto André de Carvalho)</w:t>
      </w:r>
    </w:p>
    <w:p w:rsidR="00C2772A" w:rsidRPr="006A50D3" w:rsidRDefault="00C2772A" w:rsidP="00C2772A">
      <w:pPr>
        <w:jc w:val="both"/>
        <w:rPr>
          <w:rFonts w:ascii="Arial" w:hAnsi="Arial" w:cs="Arial"/>
          <w:b/>
          <w:sz w:val="20"/>
          <w:szCs w:val="20"/>
        </w:rPr>
      </w:pPr>
      <w:r w:rsidRPr="006A50D3">
        <w:rPr>
          <w:rFonts w:ascii="Arial" w:hAnsi="Arial" w:cs="Arial"/>
          <w:b/>
          <w:sz w:val="20"/>
          <w:szCs w:val="20"/>
        </w:rPr>
        <w:t>Contrato Administrativo. Emergência. Vigência. Cláusula obrigatória. Extinção.</w:t>
      </w:r>
    </w:p>
    <w:p w:rsidR="00C2772A" w:rsidRPr="00C2772A" w:rsidRDefault="00C2772A" w:rsidP="00C2772A">
      <w:pPr>
        <w:jc w:val="both"/>
        <w:rPr>
          <w:rFonts w:ascii="Arial" w:hAnsi="Arial" w:cs="Arial"/>
          <w:sz w:val="20"/>
          <w:szCs w:val="20"/>
          <w:shd w:val="clear" w:color="auto" w:fill="FFFFFF"/>
          <w:lang w:eastAsia="pt-BR"/>
        </w:rPr>
      </w:pPr>
      <w:r w:rsidRPr="00C2772A">
        <w:rPr>
          <w:rFonts w:ascii="Arial" w:hAnsi="Arial" w:cs="Arial"/>
          <w:sz w:val="20"/>
          <w:szCs w:val="20"/>
          <w:shd w:val="clear" w:color="auto" w:fill="FFFFFF"/>
          <w:lang w:eastAsia="pt-BR"/>
        </w:rPr>
        <w:t>O contrato emergencial deve conter expressa cláusula resolutiva que estabeleça a sua extinção logo após a conclusão do processo licitatório para nova contratação dos correspondentes serviços.</w:t>
      </w:r>
    </w:p>
    <w:p w:rsidR="00543DF0" w:rsidRDefault="00543DF0" w:rsidP="00543DF0">
      <w:pPr>
        <w:pStyle w:val="Default"/>
        <w:spacing w:after="200" w:line="276" w:lineRule="auto"/>
        <w:jc w:val="both"/>
        <w:rPr>
          <w:b/>
          <w:sz w:val="20"/>
          <w:szCs w:val="20"/>
        </w:rPr>
      </w:pPr>
      <w:r>
        <w:rPr>
          <w:b/>
          <w:sz w:val="20"/>
          <w:szCs w:val="20"/>
        </w:rPr>
        <w:t xml:space="preserve">Acesse também: </w:t>
      </w:r>
    </w:p>
    <w:p w:rsidR="00FA0E44" w:rsidRDefault="00AD0DF9" w:rsidP="00FA0E44">
      <w:pPr>
        <w:pStyle w:val="Default"/>
        <w:spacing w:line="276" w:lineRule="auto"/>
        <w:jc w:val="center"/>
        <w:rPr>
          <w:rStyle w:val="Hyperlink"/>
        </w:rPr>
      </w:pPr>
      <w:hyperlink r:id="rId30" w:history="1">
        <w:r w:rsidR="00FA0E44">
          <w:rPr>
            <w:rStyle w:val="Hyperlink"/>
            <w:b/>
            <w:sz w:val="20"/>
            <w:szCs w:val="20"/>
          </w:rPr>
          <w:t>Pesquisas Prontas</w:t>
        </w:r>
      </w:hyperlink>
    </w:p>
    <w:p w:rsidR="00FA0E44" w:rsidRDefault="00FA0E44" w:rsidP="00FA0E44">
      <w:pPr>
        <w:pStyle w:val="Default"/>
        <w:spacing w:line="276" w:lineRule="auto"/>
        <w:jc w:val="center"/>
        <w:rPr>
          <w:rStyle w:val="Hyperlink"/>
          <w:b/>
          <w:sz w:val="20"/>
          <w:szCs w:val="20"/>
        </w:rPr>
      </w:pPr>
    </w:p>
    <w:p w:rsidR="00FA0E44" w:rsidRDefault="00AD0DF9" w:rsidP="00FA0E44">
      <w:pPr>
        <w:pStyle w:val="Default"/>
        <w:spacing w:line="276" w:lineRule="auto"/>
        <w:jc w:val="center"/>
        <w:rPr>
          <w:rStyle w:val="Hyperlink"/>
          <w:b/>
          <w:sz w:val="20"/>
          <w:szCs w:val="20"/>
        </w:rPr>
      </w:pPr>
      <w:hyperlink r:id="rId31" w:history="1">
        <w:r w:rsidR="00FA0E44">
          <w:rPr>
            <w:rStyle w:val="Hyperlink"/>
            <w:b/>
            <w:sz w:val="20"/>
            <w:szCs w:val="20"/>
          </w:rPr>
          <w:t>Teses Ambientais</w:t>
        </w:r>
      </w:hyperlink>
      <w:r w:rsidR="00FA0E44">
        <w:rPr>
          <w:rStyle w:val="Hyperlink"/>
          <w:b/>
          <w:sz w:val="20"/>
          <w:szCs w:val="20"/>
        </w:rPr>
        <w:t xml:space="preserve"> </w:t>
      </w:r>
    </w:p>
    <w:p w:rsidR="00FA0E44" w:rsidRDefault="00FA0E44" w:rsidP="00FA0E44">
      <w:pPr>
        <w:pStyle w:val="Default"/>
        <w:spacing w:line="276" w:lineRule="auto"/>
        <w:jc w:val="center"/>
        <w:rPr>
          <w:rStyle w:val="Hyperlink"/>
          <w:b/>
          <w:sz w:val="20"/>
          <w:szCs w:val="20"/>
        </w:rPr>
      </w:pPr>
    </w:p>
    <w:p w:rsidR="00FA0E44" w:rsidRDefault="00AD0DF9" w:rsidP="00FA0E44">
      <w:pPr>
        <w:pStyle w:val="Default"/>
        <w:spacing w:line="276" w:lineRule="auto"/>
        <w:jc w:val="center"/>
      </w:pPr>
      <w:hyperlink r:id="rId32" w:history="1">
        <w:proofErr w:type="spellStart"/>
        <w:r w:rsidR="00FA0E44">
          <w:rPr>
            <w:rStyle w:val="Hyperlink"/>
            <w:b/>
            <w:sz w:val="20"/>
            <w:szCs w:val="20"/>
          </w:rPr>
          <w:t>Interjuris</w:t>
        </w:r>
        <w:proofErr w:type="spellEnd"/>
      </w:hyperlink>
    </w:p>
    <w:p w:rsidR="00FA0E44" w:rsidRDefault="00FA0E44" w:rsidP="00FA0E44">
      <w:pPr>
        <w:pStyle w:val="Default"/>
        <w:spacing w:line="276" w:lineRule="auto"/>
        <w:jc w:val="center"/>
      </w:pPr>
    </w:p>
    <w:p w:rsidR="00FA0E44" w:rsidRDefault="00AD0DF9" w:rsidP="00FA0E44">
      <w:pPr>
        <w:pStyle w:val="Default"/>
        <w:spacing w:line="276" w:lineRule="auto"/>
        <w:jc w:val="center"/>
        <w:rPr>
          <w:rStyle w:val="Hyperlink"/>
          <w:b/>
          <w:sz w:val="20"/>
          <w:szCs w:val="20"/>
        </w:rPr>
      </w:pPr>
      <w:hyperlink r:id="rId33" w:history="1">
        <w:r w:rsidR="00FA0E44">
          <w:rPr>
            <w:rStyle w:val="Hyperlink"/>
            <w:b/>
            <w:sz w:val="20"/>
            <w:szCs w:val="20"/>
          </w:rPr>
          <w:t>Repercussão Geral do Supremo Tribunal Federal - STF e os Tribunais de Contas</w:t>
        </w:r>
      </w:hyperlink>
    </w:p>
    <w:p w:rsidR="00FA0E44" w:rsidRDefault="00FA0E44" w:rsidP="00FA0E44">
      <w:pPr>
        <w:pStyle w:val="Default"/>
        <w:spacing w:line="276" w:lineRule="auto"/>
        <w:jc w:val="center"/>
        <w:rPr>
          <w:rStyle w:val="Hyperlink"/>
          <w:b/>
          <w:sz w:val="20"/>
          <w:szCs w:val="20"/>
        </w:rPr>
      </w:pPr>
    </w:p>
    <w:p w:rsidR="00FA0E44" w:rsidRDefault="00AD0DF9" w:rsidP="00FA0E44">
      <w:pPr>
        <w:pStyle w:val="Default"/>
        <w:spacing w:line="276" w:lineRule="auto"/>
        <w:jc w:val="center"/>
        <w:rPr>
          <w:rStyle w:val="Hyperlink"/>
          <w:b/>
          <w:sz w:val="20"/>
          <w:szCs w:val="20"/>
        </w:rPr>
      </w:pPr>
      <w:hyperlink r:id="rId34" w:history="1">
        <w:r w:rsidR="00FA0E44">
          <w:rPr>
            <w:rStyle w:val="Hyperlink"/>
            <w:b/>
            <w:sz w:val="20"/>
            <w:szCs w:val="20"/>
          </w:rPr>
          <w:t>Súmulas Selecionadas</w:t>
        </w:r>
      </w:hyperlink>
    </w:p>
    <w:p w:rsidR="00270E2F" w:rsidRDefault="00270E2F" w:rsidP="00270E2F">
      <w:pPr>
        <w:pStyle w:val="TCU-Epgrafe"/>
        <w:spacing w:line="276" w:lineRule="auto"/>
        <w:ind w:left="0"/>
        <w:rPr>
          <w:sz w:val="22"/>
          <w:szCs w:val="22"/>
        </w:rPr>
      </w:pPr>
      <w:r w:rsidRPr="0022060B">
        <w:rPr>
          <w:rFonts w:ascii="Arial" w:hAnsi="Arial" w:cs="Arial"/>
          <w:noProof/>
          <w:sz w:val="20"/>
        </w:rPr>
        <mc:AlternateContent>
          <mc:Choice Requires="wps">
            <w:drawing>
              <wp:anchor distT="0" distB="0" distL="114300" distR="114300" simplePos="0" relativeHeight="251664896" behindDoc="0" locked="0" layoutInCell="1" allowOverlap="1" wp14:anchorId="63484C90" wp14:editId="67AE2BB8">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FBC0740" id="Conector reto 59"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rsidR="00984E8B" w:rsidRDefault="00984E8B" w:rsidP="00DB558E">
      <w:pPr>
        <w:spacing w:after="0"/>
        <w:jc w:val="center"/>
        <w:rPr>
          <w:rStyle w:val="Hyperlink"/>
          <w:rFonts w:ascii="Arial" w:hAnsi="Arial" w:cs="Arial"/>
          <w:i/>
          <w:color w:val="000000" w:themeColor="text1"/>
          <w:sz w:val="20"/>
          <w:szCs w:val="20"/>
          <w:u w:val="none"/>
        </w:rPr>
      </w:pPr>
    </w:p>
    <w:p w:rsidR="00DB558E" w:rsidRDefault="00DB558E" w:rsidP="00DB558E">
      <w:pPr>
        <w:spacing w:after="0"/>
        <w:jc w:val="center"/>
        <w:rPr>
          <w:rFonts w:ascii="Arial" w:hAnsi="Arial" w:cs="Arial"/>
          <w:b/>
          <w:sz w:val="20"/>
          <w:szCs w:val="20"/>
        </w:rPr>
      </w:pPr>
      <w:r>
        <w:rPr>
          <w:rStyle w:val="Hyperlink"/>
          <w:rFonts w:ascii="Arial" w:hAnsi="Arial" w:cs="Arial"/>
          <w:i/>
          <w:color w:val="000000" w:themeColor="text1"/>
          <w:sz w:val="20"/>
          <w:szCs w:val="20"/>
          <w:u w:val="none"/>
        </w:rPr>
        <w:t>Elaboração: Escola de Gestão Pública - Jurisprudência</w:t>
      </w:r>
    </w:p>
    <w:bookmarkEnd w:id="0"/>
    <w:p w:rsidR="00DB558E" w:rsidRDefault="00DB558E" w:rsidP="00DB558E">
      <w:pPr>
        <w:widowControl w:val="0"/>
        <w:autoSpaceDE w:val="0"/>
        <w:autoSpaceDN w:val="0"/>
        <w:spacing w:after="0"/>
        <w:jc w:val="both"/>
        <w:rPr>
          <w:rFonts w:ascii="Arial" w:hAnsi="Arial" w:cs="Arial"/>
          <w:b/>
          <w:sz w:val="20"/>
          <w:szCs w:val="20"/>
        </w:rPr>
      </w:pPr>
    </w:p>
    <w:p w:rsidR="00E01524" w:rsidRPr="0022060B" w:rsidRDefault="00E01524" w:rsidP="00DB558E">
      <w:pPr>
        <w:pStyle w:val="TCU-Epgrafe"/>
        <w:spacing w:after="200" w:line="276" w:lineRule="auto"/>
        <w:ind w:left="0"/>
        <w:rPr>
          <w:rFonts w:ascii="Arial" w:hAnsi="Arial" w:cs="Arial"/>
          <w:b/>
          <w:sz w:val="20"/>
        </w:rPr>
      </w:pPr>
    </w:p>
    <w:sectPr w:rsidR="00E01524" w:rsidRPr="0022060B">
      <w:headerReference w:type="default" r:id="rId35"/>
      <w:footerReference w:type="default" r:id="rId3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07A9" w:rsidRDefault="009907A9" w:rsidP="00350CC2">
      <w:pPr>
        <w:spacing w:after="0" w:line="240" w:lineRule="auto"/>
      </w:pPr>
      <w:r>
        <w:separator/>
      </w:r>
    </w:p>
  </w:endnote>
  <w:endnote w:type="continuationSeparator" w:id="0">
    <w:p w:rsidR="009907A9" w:rsidRDefault="009907A9"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5DE" w:rsidRDefault="002245DE" w:rsidP="002245DE">
    <w:pPr>
      <w:pStyle w:val="Rodap"/>
      <w:jc w:val="center"/>
      <w:rPr>
        <w:sz w:val="16"/>
        <w:szCs w:val="16"/>
      </w:rPr>
    </w:pPr>
    <w:r>
      <w:rPr>
        <w:noProof/>
        <w:lang w:eastAsia="pt-BR"/>
      </w:rPr>
      <w:drawing>
        <wp:inline distT="0" distB="0" distL="0" distR="0" wp14:anchorId="4DD8E97D" wp14:editId="15823BC0">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6D7D43">
      <w:rPr>
        <w:noProof/>
        <w:sz w:val="16"/>
        <w:szCs w:val="16"/>
      </w:rPr>
      <w:t>3</w:t>
    </w:r>
    <w:r w:rsidRPr="00722924">
      <w:rPr>
        <w:sz w:val="16"/>
        <w:szCs w:val="16"/>
      </w:rPr>
      <w:fldChar w:fldCharType="end"/>
    </w:r>
  </w:p>
  <w:p w:rsidR="00375DB6" w:rsidRDefault="00375DB6"/>
  <w:p w:rsidR="00375DB6" w:rsidRDefault="00375DB6"/>
  <w:p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07A9" w:rsidRDefault="009907A9" w:rsidP="00350CC2">
      <w:pPr>
        <w:spacing w:after="0" w:line="240" w:lineRule="auto"/>
      </w:pPr>
      <w:r>
        <w:separator/>
      </w:r>
    </w:p>
  </w:footnote>
  <w:footnote w:type="continuationSeparator" w:id="0">
    <w:p w:rsidR="009907A9" w:rsidRDefault="009907A9"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5FD7" w:rsidRDefault="006A5FD7" w:rsidP="00F14CCC">
    <w:pPr>
      <w:pStyle w:val="Cabealho"/>
      <w:spacing w:after="100" w:afterAutospacing="1"/>
      <w:jc w:val="center"/>
      <w:rPr>
        <w:b/>
      </w:rPr>
    </w:pPr>
  </w:p>
  <w:p w:rsidR="006A5FD7" w:rsidRDefault="006A5FD7" w:rsidP="00F14CCC">
    <w:pPr>
      <w:pStyle w:val="Cabealho"/>
      <w:spacing w:after="100" w:afterAutospacing="1"/>
      <w:jc w:val="center"/>
      <w:rPr>
        <w:b/>
      </w:rPr>
    </w:pPr>
    <w:r>
      <w:rPr>
        <w:noProof/>
        <w:lang w:eastAsia="pt-BR"/>
      </w:rPr>
      <w:drawing>
        <wp:inline distT="0" distB="0" distL="0" distR="0" wp14:anchorId="460CA892" wp14:editId="6EABBF5B">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4F7219B"/>
    <w:multiLevelType w:val="hybridMultilevel"/>
    <w:tmpl w:val="4E884E4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7"/>
  </w:num>
  <w:num w:numId="3">
    <w:abstractNumId w:val="10"/>
  </w:num>
  <w:num w:numId="4">
    <w:abstractNumId w:val="11"/>
  </w:num>
  <w:num w:numId="5">
    <w:abstractNumId w:val="12"/>
  </w:num>
  <w:num w:numId="6">
    <w:abstractNumId w:val="9"/>
  </w:num>
  <w:num w:numId="7">
    <w:abstractNumId w:val="0"/>
  </w:num>
  <w:num w:numId="8">
    <w:abstractNumId w:val="2"/>
  </w:num>
  <w:num w:numId="9">
    <w:abstractNumId w:val="6"/>
  </w:num>
  <w:num w:numId="10">
    <w:abstractNumId w:val="3"/>
  </w:num>
  <w:num w:numId="11">
    <w:abstractNumId w:val="4"/>
  </w:num>
  <w:num w:numId="12">
    <w:abstractNumId w:val="8"/>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309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505F"/>
    <w:rsid w:val="000078B5"/>
    <w:rsid w:val="00007F7A"/>
    <w:rsid w:val="00007FD0"/>
    <w:rsid w:val="00010B69"/>
    <w:rsid w:val="00010F88"/>
    <w:rsid w:val="0001200F"/>
    <w:rsid w:val="000126A0"/>
    <w:rsid w:val="00012CBB"/>
    <w:rsid w:val="00013691"/>
    <w:rsid w:val="00013840"/>
    <w:rsid w:val="00015FB0"/>
    <w:rsid w:val="00017EBA"/>
    <w:rsid w:val="00021B0A"/>
    <w:rsid w:val="00025971"/>
    <w:rsid w:val="000262AD"/>
    <w:rsid w:val="00027A03"/>
    <w:rsid w:val="00027FAB"/>
    <w:rsid w:val="000300F4"/>
    <w:rsid w:val="00032A26"/>
    <w:rsid w:val="00033422"/>
    <w:rsid w:val="00033E69"/>
    <w:rsid w:val="00040EBA"/>
    <w:rsid w:val="00042502"/>
    <w:rsid w:val="00042DF3"/>
    <w:rsid w:val="000433EC"/>
    <w:rsid w:val="000439FD"/>
    <w:rsid w:val="00045700"/>
    <w:rsid w:val="00046191"/>
    <w:rsid w:val="00046489"/>
    <w:rsid w:val="00046E21"/>
    <w:rsid w:val="00047EF1"/>
    <w:rsid w:val="00052862"/>
    <w:rsid w:val="00053B72"/>
    <w:rsid w:val="00056028"/>
    <w:rsid w:val="00056686"/>
    <w:rsid w:val="000566C8"/>
    <w:rsid w:val="00056E6F"/>
    <w:rsid w:val="000572CE"/>
    <w:rsid w:val="000617CF"/>
    <w:rsid w:val="00062737"/>
    <w:rsid w:val="00067E01"/>
    <w:rsid w:val="00070009"/>
    <w:rsid w:val="00070B14"/>
    <w:rsid w:val="000713DD"/>
    <w:rsid w:val="00071DE3"/>
    <w:rsid w:val="0007200C"/>
    <w:rsid w:val="00073F9F"/>
    <w:rsid w:val="00074287"/>
    <w:rsid w:val="000747BF"/>
    <w:rsid w:val="00074FAB"/>
    <w:rsid w:val="000759E5"/>
    <w:rsid w:val="00076184"/>
    <w:rsid w:val="000800D1"/>
    <w:rsid w:val="00081051"/>
    <w:rsid w:val="0009260D"/>
    <w:rsid w:val="000926D4"/>
    <w:rsid w:val="00092E5D"/>
    <w:rsid w:val="0009482D"/>
    <w:rsid w:val="0009711C"/>
    <w:rsid w:val="0009762F"/>
    <w:rsid w:val="00097B00"/>
    <w:rsid w:val="000A0748"/>
    <w:rsid w:val="000A0E48"/>
    <w:rsid w:val="000A29BE"/>
    <w:rsid w:val="000A3C2D"/>
    <w:rsid w:val="000A3E63"/>
    <w:rsid w:val="000A47FD"/>
    <w:rsid w:val="000A4EB6"/>
    <w:rsid w:val="000A5F01"/>
    <w:rsid w:val="000A71D1"/>
    <w:rsid w:val="000B04A0"/>
    <w:rsid w:val="000B11D2"/>
    <w:rsid w:val="000B1E10"/>
    <w:rsid w:val="000B2FD9"/>
    <w:rsid w:val="000B311A"/>
    <w:rsid w:val="000B31B6"/>
    <w:rsid w:val="000B3DF1"/>
    <w:rsid w:val="000B47C0"/>
    <w:rsid w:val="000C2948"/>
    <w:rsid w:val="000C3582"/>
    <w:rsid w:val="000C4F73"/>
    <w:rsid w:val="000C5093"/>
    <w:rsid w:val="000C5460"/>
    <w:rsid w:val="000C5EB3"/>
    <w:rsid w:val="000C63BC"/>
    <w:rsid w:val="000C7D67"/>
    <w:rsid w:val="000D2D5B"/>
    <w:rsid w:val="000D357D"/>
    <w:rsid w:val="000D4DE6"/>
    <w:rsid w:val="000D6D01"/>
    <w:rsid w:val="000E300B"/>
    <w:rsid w:val="000E3ACE"/>
    <w:rsid w:val="000E3FC6"/>
    <w:rsid w:val="000E464B"/>
    <w:rsid w:val="000E5AC8"/>
    <w:rsid w:val="000F04ED"/>
    <w:rsid w:val="000F18DA"/>
    <w:rsid w:val="000F1FFA"/>
    <w:rsid w:val="000F314C"/>
    <w:rsid w:val="000F639D"/>
    <w:rsid w:val="000F70E8"/>
    <w:rsid w:val="000F7C1B"/>
    <w:rsid w:val="00100B9C"/>
    <w:rsid w:val="00106AA9"/>
    <w:rsid w:val="00107CDE"/>
    <w:rsid w:val="00110517"/>
    <w:rsid w:val="00110BD6"/>
    <w:rsid w:val="001119DC"/>
    <w:rsid w:val="00111B86"/>
    <w:rsid w:val="00111C26"/>
    <w:rsid w:val="00112B60"/>
    <w:rsid w:val="00113EF1"/>
    <w:rsid w:val="00114B62"/>
    <w:rsid w:val="001159C9"/>
    <w:rsid w:val="00117586"/>
    <w:rsid w:val="00120862"/>
    <w:rsid w:val="0012211A"/>
    <w:rsid w:val="00122E13"/>
    <w:rsid w:val="00123D02"/>
    <w:rsid w:val="0012498C"/>
    <w:rsid w:val="00124A0F"/>
    <w:rsid w:val="00126447"/>
    <w:rsid w:val="00127DF2"/>
    <w:rsid w:val="00130717"/>
    <w:rsid w:val="0013298B"/>
    <w:rsid w:val="0013396B"/>
    <w:rsid w:val="001342E3"/>
    <w:rsid w:val="0013514C"/>
    <w:rsid w:val="0013583F"/>
    <w:rsid w:val="00135D5F"/>
    <w:rsid w:val="001411E6"/>
    <w:rsid w:val="001415BA"/>
    <w:rsid w:val="00142D10"/>
    <w:rsid w:val="0014442A"/>
    <w:rsid w:val="00144712"/>
    <w:rsid w:val="001472C1"/>
    <w:rsid w:val="00150844"/>
    <w:rsid w:val="001529D8"/>
    <w:rsid w:val="00156185"/>
    <w:rsid w:val="00156F74"/>
    <w:rsid w:val="00157806"/>
    <w:rsid w:val="00157D64"/>
    <w:rsid w:val="0016028F"/>
    <w:rsid w:val="00161AA2"/>
    <w:rsid w:val="0016670D"/>
    <w:rsid w:val="00166A96"/>
    <w:rsid w:val="00170F9D"/>
    <w:rsid w:val="00171401"/>
    <w:rsid w:val="001720EB"/>
    <w:rsid w:val="00172248"/>
    <w:rsid w:val="0017455D"/>
    <w:rsid w:val="001770AF"/>
    <w:rsid w:val="001800A9"/>
    <w:rsid w:val="001823E7"/>
    <w:rsid w:val="0018272D"/>
    <w:rsid w:val="00190B94"/>
    <w:rsid w:val="001930D1"/>
    <w:rsid w:val="001942C5"/>
    <w:rsid w:val="00196437"/>
    <w:rsid w:val="001975AB"/>
    <w:rsid w:val="001A16DE"/>
    <w:rsid w:val="001A5D2D"/>
    <w:rsid w:val="001B096B"/>
    <w:rsid w:val="001B5B65"/>
    <w:rsid w:val="001B5F7A"/>
    <w:rsid w:val="001B6E08"/>
    <w:rsid w:val="001C0F23"/>
    <w:rsid w:val="001C1CCC"/>
    <w:rsid w:val="001C46A8"/>
    <w:rsid w:val="001D0693"/>
    <w:rsid w:val="001D0DD1"/>
    <w:rsid w:val="001D4D9A"/>
    <w:rsid w:val="001D51BD"/>
    <w:rsid w:val="001D6665"/>
    <w:rsid w:val="001D684B"/>
    <w:rsid w:val="001D6ADC"/>
    <w:rsid w:val="001D7E4B"/>
    <w:rsid w:val="001E1817"/>
    <w:rsid w:val="001E2E5A"/>
    <w:rsid w:val="001E5F2E"/>
    <w:rsid w:val="001E6CAA"/>
    <w:rsid w:val="001E73FF"/>
    <w:rsid w:val="001E75A0"/>
    <w:rsid w:val="001E75A7"/>
    <w:rsid w:val="001F7A25"/>
    <w:rsid w:val="002013D1"/>
    <w:rsid w:val="0020195B"/>
    <w:rsid w:val="00202E6D"/>
    <w:rsid w:val="00202F4B"/>
    <w:rsid w:val="002036C8"/>
    <w:rsid w:val="002100EE"/>
    <w:rsid w:val="00211A49"/>
    <w:rsid w:val="00213BD0"/>
    <w:rsid w:val="002147AC"/>
    <w:rsid w:val="00215BFE"/>
    <w:rsid w:val="00215EF3"/>
    <w:rsid w:val="0022060B"/>
    <w:rsid w:val="00220BB1"/>
    <w:rsid w:val="00221D15"/>
    <w:rsid w:val="00223A59"/>
    <w:rsid w:val="00223F1C"/>
    <w:rsid w:val="002245DE"/>
    <w:rsid w:val="00224904"/>
    <w:rsid w:val="00225AE0"/>
    <w:rsid w:val="00232878"/>
    <w:rsid w:val="0023318C"/>
    <w:rsid w:val="00234AE0"/>
    <w:rsid w:val="00235F82"/>
    <w:rsid w:val="00237C21"/>
    <w:rsid w:val="0024200E"/>
    <w:rsid w:val="002426C3"/>
    <w:rsid w:val="002450AA"/>
    <w:rsid w:val="002456AD"/>
    <w:rsid w:val="00245F7B"/>
    <w:rsid w:val="002478B9"/>
    <w:rsid w:val="00251273"/>
    <w:rsid w:val="00252A2A"/>
    <w:rsid w:val="00252AA5"/>
    <w:rsid w:val="00253ADA"/>
    <w:rsid w:val="00255360"/>
    <w:rsid w:val="00256A12"/>
    <w:rsid w:val="00256CEA"/>
    <w:rsid w:val="002571B4"/>
    <w:rsid w:val="00260758"/>
    <w:rsid w:val="00260D58"/>
    <w:rsid w:val="0026477F"/>
    <w:rsid w:val="00264F10"/>
    <w:rsid w:val="0026510B"/>
    <w:rsid w:val="002659BA"/>
    <w:rsid w:val="0026729F"/>
    <w:rsid w:val="00270E2F"/>
    <w:rsid w:val="00271154"/>
    <w:rsid w:val="00271655"/>
    <w:rsid w:val="00275CA6"/>
    <w:rsid w:val="002805F1"/>
    <w:rsid w:val="00286EB4"/>
    <w:rsid w:val="002874A2"/>
    <w:rsid w:val="002921E2"/>
    <w:rsid w:val="0029566D"/>
    <w:rsid w:val="00295F4B"/>
    <w:rsid w:val="0029656C"/>
    <w:rsid w:val="002A00AC"/>
    <w:rsid w:val="002A00E8"/>
    <w:rsid w:val="002A0792"/>
    <w:rsid w:val="002A1D5F"/>
    <w:rsid w:val="002A2E6C"/>
    <w:rsid w:val="002B070A"/>
    <w:rsid w:val="002B0F20"/>
    <w:rsid w:val="002B14B7"/>
    <w:rsid w:val="002B297F"/>
    <w:rsid w:val="002B38A8"/>
    <w:rsid w:val="002B5E9F"/>
    <w:rsid w:val="002B6BA0"/>
    <w:rsid w:val="002C05FF"/>
    <w:rsid w:val="002C19EA"/>
    <w:rsid w:val="002C24B5"/>
    <w:rsid w:val="002C3EA5"/>
    <w:rsid w:val="002C480F"/>
    <w:rsid w:val="002C56C9"/>
    <w:rsid w:val="002C7487"/>
    <w:rsid w:val="002D1923"/>
    <w:rsid w:val="002D3BD3"/>
    <w:rsid w:val="002D48D1"/>
    <w:rsid w:val="002D5B56"/>
    <w:rsid w:val="002D6612"/>
    <w:rsid w:val="002D7650"/>
    <w:rsid w:val="002E00A5"/>
    <w:rsid w:val="002E09B1"/>
    <w:rsid w:val="002E0A60"/>
    <w:rsid w:val="002E4277"/>
    <w:rsid w:val="002E5303"/>
    <w:rsid w:val="002E6626"/>
    <w:rsid w:val="002E72FA"/>
    <w:rsid w:val="002E7DFF"/>
    <w:rsid w:val="002F0BE9"/>
    <w:rsid w:val="002F13A0"/>
    <w:rsid w:val="002F1634"/>
    <w:rsid w:val="002F1848"/>
    <w:rsid w:val="002F1D70"/>
    <w:rsid w:val="002F22FA"/>
    <w:rsid w:val="002F73BA"/>
    <w:rsid w:val="003005B3"/>
    <w:rsid w:val="0030165B"/>
    <w:rsid w:val="00302340"/>
    <w:rsid w:val="00303C9C"/>
    <w:rsid w:val="00305A67"/>
    <w:rsid w:val="00306B80"/>
    <w:rsid w:val="00307038"/>
    <w:rsid w:val="00313238"/>
    <w:rsid w:val="003132BE"/>
    <w:rsid w:val="003201CB"/>
    <w:rsid w:val="00320577"/>
    <w:rsid w:val="0032266D"/>
    <w:rsid w:val="00325E2F"/>
    <w:rsid w:val="003265DB"/>
    <w:rsid w:val="003269A9"/>
    <w:rsid w:val="00327DF9"/>
    <w:rsid w:val="0033073E"/>
    <w:rsid w:val="00331533"/>
    <w:rsid w:val="0033240F"/>
    <w:rsid w:val="00333875"/>
    <w:rsid w:val="0033604C"/>
    <w:rsid w:val="003407F0"/>
    <w:rsid w:val="00343C28"/>
    <w:rsid w:val="00344A3D"/>
    <w:rsid w:val="00344A41"/>
    <w:rsid w:val="0034575E"/>
    <w:rsid w:val="00345C65"/>
    <w:rsid w:val="00350AC0"/>
    <w:rsid w:val="00350CC2"/>
    <w:rsid w:val="00351206"/>
    <w:rsid w:val="0035203F"/>
    <w:rsid w:val="003528A1"/>
    <w:rsid w:val="00352A72"/>
    <w:rsid w:val="0035371B"/>
    <w:rsid w:val="00353FEB"/>
    <w:rsid w:val="00356987"/>
    <w:rsid w:val="00356FB0"/>
    <w:rsid w:val="00361DA5"/>
    <w:rsid w:val="00361F1D"/>
    <w:rsid w:val="00364392"/>
    <w:rsid w:val="00365E61"/>
    <w:rsid w:val="00365EFF"/>
    <w:rsid w:val="00365F51"/>
    <w:rsid w:val="00373E05"/>
    <w:rsid w:val="00375692"/>
    <w:rsid w:val="00375DB6"/>
    <w:rsid w:val="0038012F"/>
    <w:rsid w:val="00380BAB"/>
    <w:rsid w:val="00381A0E"/>
    <w:rsid w:val="0038751C"/>
    <w:rsid w:val="0038778B"/>
    <w:rsid w:val="00394451"/>
    <w:rsid w:val="0039584A"/>
    <w:rsid w:val="0039625A"/>
    <w:rsid w:val="00396E93"/>
    <w:rsid w:val="003A4828"/>
    <w:rsid w:val="003A64CB"/>
    <w:rsid w:val="003A6622"/>
    <w:rsid w:val="003A673F"/>
    <w:rsid w:val="003B145D"/>
    <w:rsid w:val="003B247E"/>
    <w:rsid w:val="003B4678"/>
    <w:rsid w:val="003B4F77"/>
    <w:rsid w:val="003B502C"/>
    <w:rsid w:val="003C457A"/>
    <w:rsid w:val="003C6B35"/>
    <w:rsid w:val="003C7C21"/>
    <w:rsid w:val="003D0632"/>
    <w:rsid w:val="003D650C"/>
    <w:rsid w:val="003D6713"/>
    <w:rsid w:val="003D6E90"/>
    <w:rsid w:val="003D7C37"/>
    <w:rsid w:val="003E110D"/>
    <w:rsid w:val="003E3529"/>
    <w:rsid w:val="003E3D02"/>
    <w:rsid w:val="003E3E6A"/>
    <w:rsid w:val="003E55BC"/>
    <w:rsid w:val="003E6EAF"/>
    <w:rsid w:val="003F0088"/>
    <w:rsid w:val="003F03C6"/>
    <w:rsid w:val="003F2DDE"/>
    <w:rsid w:val="003F314F"/>
    <w:rsid w:val="003F4721"/>
    <w:rsid w:val="003F5060"/>
    <w:rsid w:val="003F5829"/>
    <w:rsid w:val="003F5A3F"/>
    <w:rsid w:val="003F63DA"/>
    <w:rsid w:val="003F677C"/>
    <w:rsid w:val="003F7090"/>
    <w:rsid w:val="00401EE0"/>
    <w:rsid w:val="004043AD"/>
    <w:rsid w:val="00405A6A"/>
    <w:rsid w:val="00406D2C"/>
    <w:rsid w:val="0041120A"/>
    <w:rsid w:val="00411935"/>
    <w:rsid w:val="0041337A"/>
    <w:rsid w:val="00416A72"/>
    <w:rsid w:val="00420AE1"/>
    <w:rsid w:val="0042728A"/>
    <w:rsid w:val="004276DC"/>
    <w:rsid w:val="0042779B"/>
    <w:rsid w:val="0043291F"/>
    <w:rsid w:val="00434347"/>
    <w:rsid w:val="004371F9"/>
    <w:rsid w:val="0043728E"/>
    <w:rsid w:val="00437541"/>
    <w:rsid w:val="00441D38"/>
    <w:rsid w:val="00441E59"/>
    <w:rsid w:val="004429A2"/>
    <w:rsid w:val="00442CB7"/>
    <w:rsid w:val="00443CA1"/>
    <w:rsid w:val="00444C25"/>
    <w:rsid w:val="0044532C"/>
    <w:rsid w:val="00447BB2"/>
    <w:rsid w:val="004527ED"/>
    <w:rsid w:val="00455387"/>
    <w:rsid w:val="00455AAB"/>
    <w:rsid w:val="00457317"/>
    <w:rsid w:val="004611E1"/>
    <w:rsid w:val="0046165B"/>
    <w:rsid w:val="00462460"/>
    <w:rsid w:val="004624E9"/>
    <w:rsid w:val="00462A13"/>
    <w:rsid w:val="00462F2A"/>
    <w:rsid w:val="00463986"/>
    <w:rsid w:val="00463AC5"/>
    <w:rsid w:val="00463BA8"/>
    <w:rsid w:val="004641AA"/>
    <w:rsid w:val="00464835"/>
    <w:rsid w:val="004654D3"/>
    <w:rsid w:val="00470218"/>
    <w:rsid w:val="00471B9D"/>
    <w:rsid w:val="0047206A"/>
    <w:rsid w:val="00474978"/>
    <w:rsid w:val="0047499A"/>
    <w:rsid w:val="00474C78"/>
    <w:rsid w:val="00475AAE"/>
    <w:rsid w:val="00480934"/>
    <w:rsid w:val="0048130C"/>
    <w:rsid w:val="00482FA5"/>
    <w:rsid w:val="00484CA4"/>
    <w:rsid w:val="00484E6E"/>
    <w:rsid w:val="00485819"/>
    <w:rsid w:val="00487D31"/>
    <w:rsid w:val="00490000"/>
    <w:rsid w:val="00491F60"/>
    <w:rsid w:val="00492026"/>
    <w:rsid w:val="004920C5"/>
    <w:rsid w:val="004927D6"/>
    <w:rsid w:val="00492E16"/>
    <w:rsid w:val="004949D1"/>
    <w:rsid w:val="00494AE3"/>
    <w:rsid w:val="00494C04"/>
    <w:rsid w:val="0049557F"/>
    <w:rsid w:val="00495B75"/>
    <w:rsid w:val="004965C3"/>
    <w:rsid w:val="00497639"/>
    <w:rsid w:val="004A0574"/>
    <w:rsid w:val="004A08D1"/>
    <w:rsid w:val="004A0A41"/>
    <w:rsid w:val="004A22CF"/>
    <w:rsid w:val="004A2925"/>
    <w:rsid w:val="004A5804"/>
    <w:rsid w:val="004A794E"/>
    <w:rsid w:val="004B142E"/>
    <w:rsid w:val="004B3D26"/>
    <w:rsid w:val="004B44C1"/>
    <w:rsid w:val="004B623F"/>
    <w:rsid w:val="004B6EA7"/>
    <w:rsid w:val="004C11DE"/>
    <w:rsid w:val="004C13DB"/>
    <w:rsid w:val="004D00EF"/>
    <w:rsid w:val="004D14AD"/>
    <w:rsid w:val="004D376C"/>
    <w:rsid w:val="004D3864"/>
    <w:rsid w:val="004D58CD"/>
    <w:rsid w:val="004D5EEF"/>
    <w:rsid w:val="004D75B0"/>
    <w:rsid w:val="004D7DC5"/>
    <w:rsid w:val="004E109A"/>
    <w:rsid w:val="004E3B94"/>
    <w:rsid w:val="004E6410"/>
    <w:rsid w:val="004E7C93"/>
    <w:rsid w:val="004F3C8F"/>
    <w:rsid w:val="00500939"/>
    <w:rsid w:val="00501FC7"/>
    <w:rsid w:val="005025F4"/>
    <w:rsid w:val="00502AAF"/>
    <w:rsid w:val="005067E0"/>
    <w:rsid w:val="00510B62"/>
    <w:rsid w:val="00511F85"/>
    <w:rsid w:val="00516673"/>
    <w:rsid w:val="00517B69"/>
    <w:rsid w:val="00520368"/>
    <w:rsid w:val="00523227"/>
    <w:rsid w:val="00523246"/>
    <w:rsid w:val="005237FD"/>
    <w:rsid w:val="005246B4"/>
    <w:rsid w:val="0052508C"/>
    <w:rsid w:val="00525F8B"/>
    <w:rsid w:val="0052651B"/>
    <w:rsid w:val="00530F1E"/>
    <w:rsid w:val="00532F0D"/>
    <w:rsid w:val="005333EB"/>
    <w:rsid w:val="00533C06"/>
    <w:rsid w:val="00533E30"/>
    <w:rsid w:val="0053401E"/>
    <w:rsid w:val="00535AAB"/>
    <w:rsid w:val="00540B8E"/>
    <w:rsid w:val="00542636"/>
    <w:rsid w:val="00543DF0"/>
    <w:rsid w:val="00544AB5"/>
    <w:rsid w:val="0054545F"/>
    <w:rsid w:val="00546D89"/>
    <w:rsid w:val="00547AFC"/>
    <w:rsid w:val="0055022A"/>
    <w:rsid w:val="005503E5"/>
    <w:rsid w:val="005513B0"/>
    <w:rsid w:val="00556F73"/>
    <w:rsid w:val="005576BE"/>
    <w:rsid w:val="005603B3"/>
    <w:rsid w:val="00561787"/>
    <w:rsid w:val="0056193C"/>
    <w:rsid w:val="00561EF9"/>
    <w:rsid w:val="005650CD"/>
    <w:rsid w:val="00566AE8"/>
    <w:rsid w:val="005670EC"/>
    <w:rsid w:val="00567328"/>
    <w:rsid w:val="005706D5"/>
    <w:rsid w:val="005728BC"/>
    <w:rsid w:val="00573F1D"/>
    <w:rsid w:val="0057421A"/>
    <w:rsid w:val="005759E4"/>
    <w:rsid w:val="00575AE8"/>
    <w:rsid w:val="00575E1D"/>
    <w:rsid w:val="00576089"/>
    <w:rsid w:val="005819D2"/>
    <w:rsid w:val="00582374"/>
    <w:rsid w:val="00582DF8"/>
    <w:rsid w:val="00583800"/>
    <w:rsid w:val="00584BC6"/>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742F"/>
    <w:rsid w:val="005A7C78"/>
    <w:rsid w:val="005B0873"/>
    <w:rsid w:val="005B4F6C"/>
    <w:rsid w:val="005B7055"/>
    <w:rsid w:val="005C4763"/>
    <w:rsid w:val="005C4DB7"/>
    <w:rsid w:val="005C5DC8"/>
    <w:rsid w:val="005C661E"/>
    <w:rsid w:val="005C7258"/>
    <w:rsid w:val="005D1E9E"/>
    <w:rsid w:val="005D2F6B"/>
    <w:rsid w:val="005D48C8"/>
    <w:rsid w:val="005D4F1D"/>
    <w:rsid w:val="005D58CE"/>
    <w:rsid w:val="005D6DB4"/>
    <w:rsid w:val="005E2760"/>
    <w:rsid w:val="005E2D13"/>
    <w:rsid w:val="005E350B"/>
    <w:rsid w:val="005E4648"/>
    <w:rsid w:val="005E6068"/>
    <w:rsid w:val="005E64B3"/>
    <w:rsid w:val="005E6A47"/>
    <w:rsid w:val="005E6DD4"/>
    <w:rsid w:val="005F03A4"/>
    <w:rsid w:val="005F0C51"/>
    <w:rsid w:val="005F16DB"/>
    <w:rsid w:val="005F17B2"/>
    <w:rsid w:val="005F2BB5"/>
    <w:rsid w:val="005F3A96"/>
    <w:rsid w:val="005F4DBF"/>
    <w:rsid w:val="005F58C1"/>
    <w:rsid w:val="005F66CC"/>
    <w:rsid w:val="005F7DEC"/>
    <w:rsid w:val="005F7E35"/>
    <w:rsid w:val="00600AA5"/>
    <w:rsid w:val="0060126D"/>
    <w:rsid w:val="0060146A"/>
    <w:rsid w:val="00601974"/>
    <w:rsid w:val="00601CE8"/>
    <w:rsid w:val="00602DA5"/>
    <w:rsid w:val="006045AF"/>
    <w:rsid w:val="00606B1E"/>
    <w:rsid w:val="006105E3"/>
    <w:rsid w:val="006115E2"/>
    <w:rsid w:val="00613D08"/>
    <w:rsid w:val="0061491F"/>
    <w:rsid w:val="00615FC7"/>
    <w:rsid w:val="00620DEF"/>
    <w:rsid w:val="0062204C"/>
    <w:rsid w:val="00623188"/>
    <w:rsid w:val="00626DD6"/>
    <w:rsid w:val="0062719D"/>
    <w:rsid w:val="00627FDF"/>
    <w:rsid w:val="00630296"/>
    <w:rsid w:val="006331E3"/>
    <w:rsid w:val="00633776"/>
    <w:rsid w:val="00633C62"/>
    <w:rsid w:val="006361F0"/>
    <w:rsid w:val="006372A4"/>
    <w:rsid w:val="006375ED"/>
    <w:rsid w:val="0064029E"/>
    <w:rsid w:val="00640861"/>
    <w:rsid w:val="00640A36"/>
    <w:rsid w:val="00640BDC"/>
    <w:rsid w:val="0064171C"/>
    <w:rsid w:val="0064335E"/>
    <w:rsid w:val="00646004"/>
    <w:rsid w:val="00646AD1"/>
    <w:rsid w:val="006473BA"/>
    <w:rsid w:val="00650E4E"/>
    <w:rsid w:val="00654D9D"/>
    <w:rsid w:val="00660C02"/>
    <w:rsid w:val="0066104E"/>
    <w:rsid w:val="0066130F"/>
    <w:rsid w:val="006641F4"/>
    <w:rsid w:val="006645D9"/>
    <w:rsid w:val="006650FB"/>
    <w:rsid w:val="00665EBC"/>
    <w:rsid w:val="00667637"/>
    <w:rsid w:val="00667BE8"/>
    <w:rsid w:val="0067150D"/>
    <w:rsid w:val="00673A29"/>
    <w:rsid w:val="00673AD9"/>
    <w:rsid w:val="006766F4"/>
    <w:rsid w:val="00676A95"/>
    <w:rsid w:val="006777B6"/>
    <w:rsid w:val="00681341"/>
    <w:rsid w:val="00681787"/>
    <w:rsid w:val="0068250F"/>
    <w:rsid w:val="00684139"/>
    <w:rsid w:val="00685904"/>
    <w:rsid w:val="00685FFE"/>
    <w:rsid w:val="00686729"/>
    <w:rsid w:val="00686CAC"/>
    <w:rsid w:val="00686D5A"/>
    <w:rsid w:val="00687871"/>
    <w:rsid w:val="00693247"/>
    <w:rsid w:val="0069336E"/>
    <w:rsid w:val="00694174"/>
    <w:rsid w:val="00697D60"/>
    <w:rsid w:val="006A27BC"/>
    <w:rsid w:val="006A27D6"/>
    <w:rsid w:val="006A3A42"/>
    <w:rsid w:val="006A41B4"/>
    <w:rsid w:val="006A50D3"/>
    <w:rsid w:val="006A5FD7"/>
    <w:rsid w:val="006A62B0"/>
    <w:rsid w:val="006B143E"/>
    <w:rsid w:val="006B30E3"/>
    <w:rsid w:val="006B5E72"/>
    <w:rsid w:val="006B6205"/>
    <w:rsid w:val="006C058F"/>
    <w:rsid w:val="006C212C"/>
    <w:rsid w:val="006C3252"/>
    <w:rsid w:val="006C677F"/>
    <w:rsid w:val="006C7A04"/>
    <w:rsid w:val="006D158F"/>
    <w:rsid w:val="006D1B83"/>
    <w:rsid w:val="006D1BE7"/>
    <w:rsid w:val="006D5C98"/>
    <w:rsid w:val="006D6FCC"/>
    <w:rsid w:val="006D7D43"/>
    <w:rsid w:val="006E0A9F"/>
    <w:rsid w:val="006E12D5"/>
    <w:rsid w:val="006E26E8"/>
    <w:rsid w:val="006E4493"/>
    <w:rsid w:val="006E76B0"/>
    <w:rsid w:val="006F08D4"/>
    <w:rsid w:val="006F3318"/>
    <w:rsid w:val="006F39CF"/>
    <w:rsid w:val="006F4894"/>
    <w:rsid w:val="006F58F5"/>
    <w:rsid w:val="006F676D"/>
    <w:rsid w:val="00700672"/>
    <w:rsid w:val="00701319"/>
    <w:rsid w:val="00701A95"/>
    <w:rsid w:val="007027E5"/>
    <w:rsid w:val="00702F7C"/>
    <w:rsid w:val="00706127"/>
    <w:rsid w:val="007077CD"/>
    <w:rsid w:val="00712A93"/>
    <w:rsid w:val="00714CF1"/>
    <w:rsid w:val="00715CEB"/>
    <w:rsid w:val="00717A58"/>
    <w:rsid w:val="00722924"/>
    <w:rsid w:val="00723D30"/>
    <w:rsid w:val="00723F1A"/>
    <w:rsid w:val="007249BF"/>
    <w:rsid w:val="00726974"/>
    <w:rsid w:val="007306BB"/>
    <w:rsid w:val="007319AD"/>
    <w:rsid w:val="00732257"/>
    <w:rsid w:val="007334A2"/>
    <w:rsid w:val="007400EB"/>
    <w:rsid w:val="00740240"/>
    <w:rsid w:val="0074037C"/>
    <w:rsid w:val="007424B4"/>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3BFA"/>
    <w:rsid w:val="00754C7E"/>
    <w:rsid w:val="007557BC"/>
    <w:rsid w:val="007608F0"/>
    <w:rsid w:val="00762976"/>
    <w:rsid w:val="00766752"/>
    <w:rsid w:val="00766834"/>
    <w:rsid w:val="00766EC7"/>
    <w:rsid w:val="0077082D"/>
    <w:rsid w:val="0077181C"/>
    <w:rsid w:val="00771AF0"/>
    <w:rsid w:val="0077499E"/>
    <w:rsid w:val="0077508F"/>
    <w:rsid w:val="007752E2"/>
    <w:rsid w:val="00781F5F"/>
    <w:rsid w:val="00783479"/>
    <w:rsid w:val="00783696"/>
    <w:rsid w:val="00783D3E"/>
    <w:rsid w:val="00784B5D"/>
    <w:rsid w:val="00785DB0"/>
    <w:rsid w:val="00791384"/>
    <w:rsid w:val="00791D74"/>
    <w:rsid w:val="00791E5B"/>
    <w:rsid w:val="007931D7"/>
    <w:rsid w:val="007949B4"/>
    <w:rsid w:val="0079656D"/>
    <w:rsid w:val="0079708B"/>
    <w:rsid w:val="0079779E"/>
    <w:rsid w:val="007A6DC9"/>
    <w:rsid w:val="007A71B5"/>
    <w:rsid w:val="007A797E"/>
    <w:rsid w:val="007B1216"/>
    <w:rsid w:val="007B255F"/>
    <w:rsid w:val="007B55C5"/>
    <w:rsid w:val="007C03E7"/>
    <w:rsid w:val="007C0579"/>
    <w:rsid w:val="007C0E7E"/>
    <w:rsid w:val="007C10CC"/>
    <w:rsid w:val="007C250E"/>
    <w:rsid w:val="007C2CD7"/>
    <w:rsid w:val="007C4632"/>
    <w:rsid w:val="007D009C"/>
    <w:rsid w:val="007D2162"/>
    <w:rsid w:val="007D5A53"/>
    <w:rsid w:val="007D62D9"/>
    <w:rsid w:val="007D73C9"/>
    <w:rsid w:val="007E1FB4"/>
    <w:rsid w:val="007E28C1"/>
    <w:rsid w:val="007F0840"/>
    <w:rsid w:val="007F2086"/>
    <w:rsid w:val="007F6667"/>
    <w:rsid w:val="007F67A7"/>
    <w:rsid w:val="007F6F0A"/>
    <w:rsid w:val="00800773"/>
    <w:rsid w:val="00801004"/>
    <w:rsid w:val="0080111C"/>
    <w:rsid w:val="00801EFD"/>
    <w:rsid w:val="008058BC"/>
    <w:rsid w:val="00806D7C"/>
    <w:rsid w:val="00807854"/>
    <w:rsid w:val="00811012"/>
    <w:rsid w:val="00811A90"/>
    <w:rsid w:val="00813846"/>
    <w:rsid w:val="00814325"/>
    <w:rsid w:val="00815C4F"/>
    <w:rsid w:val="008161C2"/>
    <w:rsid w:val="00816942"/>
    <w:rsid w:val="0081738B"/>
    <w:rsid w:val="0082026A"/>
    <w:rsid w:val="008219BA"/>
    <w:rsid w:val="00824136"/>
    <w:rsid w:val="00826075"/>
    <w:rsid w:val="008267CA"/>
    <w:rsid w:val="00826A19"/>
    <w:rsid w:val="00830BDE"/>
    <w:rsid w:val="008312D4"/>
    <w:rsid w:val="008317C8"/>
    <w:rsid w:val="00831915"/>
    <w:rsid w:val="0083305B"/>
    <w:rsid w:val="00834578"/>
    <w:rsid w:val="0083648B"/>
    <w:rsid w:val="00836500"/>
    <w:rsid w:val="00841EAB"/>
    <w:rsid w:val="00844977"/>
    <w:rsid w:val="00844B97"/>
    <w:rsid w:val="00845BB4"/>
    <w:rsid w:val="008464F9"/>
    <w:rsid w:val="00847302"/>
    <w:rsid w:val="00847BF3"/>
    <w:rsid w:val="00852A15"/>
    <w:rsid w:val="00853D0B"/>
    <w:rsid w:val="00854B16"/>
    <w:rsid w:val="00854BCA"/>
    <w:rsid w:val="00855A43"/>
    <w:rsid w:val="008561BF"/>
    <w:rsid w:val="00861E25"/>
    <w:rsid w:val="008633B6"/>
    <w:rsid w:val="00866481"/>
    <w:rsid w:val="0087076A"/>
    <w:rsid w:val="00870853"/>
    <w:rsid w:val="008731E4"/>
    <w:rsid w:val="008745D6"/>
    <w:rsid w:val="00874DCA"/>
    <w:rsid w:val="00875D64"/>
    <w:rsid w:val="00875E32"/>
    <w:rsid w:val="0087668E"/>
    <w:rsid w:val="008800F4"/>
    <w:rsid w:val="0088277A"/>
    <w:rsid w:val="0088297B"/>
    <w:rsid w:val="00885D7C"/>
    <w:rsid w:val="0088762D"/>
    <w:rsid w:val="00890235"/>
    <w:rsid w:val="00890A70"/>
    <w:rsid w:val="00890DDC"/>
    <w:rsid w:val="00890F9C"/>
    <w:rsid w:val="008928B6"/>
    <w:rsid w:val="00894CA0"/>
    <w:rsid w:val="00895461"/>
    <w:rsid w:val="008957B1"/>
    <w:rsid w:val="00896190"/>
    <w:rsid w:val="00897C5E"/>
    <w:rsid w:val="008A0656"/>
    <w:rsid w:val="008A1517"/>
    <w:rsid w:val="008A2307"/>
    <w:rsid w:val="008A2B8F"/>
    <w:rsid w:val="008A2BB7"/>
    <w:rsid w:val="008A4000"/>
    <w:rsid w:val="008A4A65"/>
    <w:rsid w:val="008A6621"/>
    <w:rsid w:val="008A70A5"/>
    <w:rsid w:val="008B201B"/>
    <w:rsid w:val="008B2D64"/>
    <w:rsid w:val="008B368E"/>
    <w:rsid w:val="008B38A4"/>
    <w:rsid w:val="008B38EE"/>
    <w:rsid w:val="008B4F2F"/>
    <w:rsid w:val="008B55B4"/>
    <w:rsid w:val="008B6A00"/>
    <w:rsid w:val="008C0269"/>
    <w:rsid w:val="008C076F"/>
    <w:rsid w:val="008C257C"/>
    <w:rsid w:val="008D0FDE"/>
    <w:rsid w:val="008D1051"/>
    <w:rsid w:val="008D22BE"/>
    <w:rsid w:val="008D55AA"/>
    <w:rsid w:val="008D5BAF"/>
    <w:rsid w:val="008D6F04"/>
    <w:rsid w:val="008D7542"/>
    <w:rsid w:val="008D7F7C"/>
    <w:rsid w:val="008E0835"/>
    <w:rsid w:val="008E16ED"/>
    <w:rsid w:val="008E280E"/>
    <w:rsid w:val="008E2BA7"/>
    <w:rsid w:val="008E5642"/>
    <w:rsid w:val="008E5CC2"/>
    <w:rsid w:val="008F2E20"/>
    <w:rsid w:val="0090061C"/>
    <w:rsid w:val="00900BC5"/>
    <w:rsid w:val="00901036"/>
    <w:rsid w:val="00904136"/>
    <w:rsid w:val="00904309"/>
    <w:rsid w:val="0090479F"/>
    <w:rsid w:val="00904BFC"/>
    <w:rsid w:val="00906692"/>
    <w:rsid w:val="00906853"/>
    <w:rsid w:val="00906CF8"/>
    <w:rsid w:val="009073CB"/>
    <w:rsid w:val="0090752A"/>
    <w:rsid w:val="00910805"/>
    <w:rsid w:val="00911A42"/>
    <w:rsid w:val="00912D60"/>
    <w:rsid w:val="009140A2"/>
    <w:rsid w:val="009141D0"/>
    <w:rsid w:val="00915251"/>
    <w:rsid w:val="00920480"/>
    <w:rsid w:val="00920D01"/>
    <w:rsid w:val="00923B20"/>
    <w:rsid w:val="009263DF"/>
    <w:rsid w:val="00927338"/>
    <w:rsid w:val="0093018E"/>
    <w:rsid w:val="0093167C"/>
    <w:rsid w:val="00932A3A"/>
    <w:rsid w:val="00934143"/>
    <w:rsid w:val="00934679"/>
    <w:rsid w:val="00935444"/>
    <w:rsid w:val="009378F0"/>
    <w:rsid w:val="00941E85"/>
    <w:rsid w:val="00942696"/>
    <w:rsid w:val="00942EB6"/>
    <w:rsid w:val="0094307C"/>
    <w:rsid w:val="00944802"/>
    <w:rsid w:val="009470DD"/>
    <w:rsid w:val="009518D9"/>
    <w:rsid w:val="0095236F"/>
    <w:rsid w:val="00952404"/>
    <w:rsid w:val="00953350"/>
    <w:rsid w:val="00955BDA"/>
    <w:rsid w:val="0096328F"/>
    <w:rsid w:val="00965F52"/>
    <w:rsid w:val="0096737A"/>
    <w:rsid w:val="0097392A"/>
    <w:rsid w:val="009749C0"/>
    <w:rsid w:val="00977C0A"/>
    <w:rsid w:val="00980F52"/>
    <w:rsid w:val="00982FF8"/>
    <w:rsid w:val="00984E8B"/>
    <w:rsid w:val="0098512F"/>
    <w:rsid w:val="0098550A"/>
    <w:rsid w:val="00985728"/>
    <w:rsid w:val="009857DD"/>
    <w:rsid w:val="009859AB"/>
    <w:rsid w:val="00987A4E"/>
    <w:rsid w:val="009907A9"/>
    <w:rsid w:val="00993DE4"/>
    <w:rsid w:val="00993F38"/>
    <w:rsid w:val="00994A4B"/>
    <w:rsid w:val="00996D25"/>
    <w:rsid w:val="009A043C"/>
    <w:rsid w:val="009A12ED"/>
    <w:rsid w:val="009A201F"/>
    <w:rsid w:val="009A62FC"/>
    <w:rsid w:val="009A6989"/>
    <w:rsid w:val="009A72EB"/>
    <w:rsid w:val="009B105E"/>
    <w:rsid w:val="009B2B4E"/>
    <w:rsid w:val="009B396E"/>
    <w:rsid w:val="009B39A2"/>
    <w:rsid w:val="009B3B97"/>
    <w:rsid w:val="009B49F3"/>
    <w:rsid w:val="009B4E5D"/>
    <w:rsid w:val="009B567A"/>
    <w:rsid w:val="009C2976"/>
    <w:rsid w:val="009C29C5"/>
    <w:rsid w:val="009C5C75"/>
    <w:rsid w:val="009D1C23"/>
    <w:rsid w:val="009D2A29"/>
    <w:rsid w:val="009D59DE"/>
    <w:rsid w:val="009E1362"/>
    <w:rsid w:val="009E1848"/>
    <w:rsid w:val="009E1BC1"/>
    <w:rsid w:val="009E1F6B"/>
    <w:rsid w:val="009E3E77"/>
    <w:rsid w:val="009E4DF2"/>
    <w:rsid w:val="009E6D60"/>
    <w:rsid w:val="009F1918"/>
    <w:rsid w:val="009F2D0A"/>
    <w:rsid w:val="009F3962"/>
    <w:rsid w:val="009F6ED7"/>
    <w:rsid w:val="009F7401"/>
    <w:rsid w:val="009F78F2"/>
    <w:rsid w:val="00A01C9B"/>
    <w:rsid w:val="00A065F5"/>
    <w:rsid w:val="00A10857"/>
    <w:rsid w:val="00A1221A"/>
    <w:rsid w:val="00A1269B"/>
    <w:rsid w:val="00A130F9"/>
    <w:rsid w:val="00A1585F"/>
    <w:rsid w:val="00A16000"/>
    <w:rsid w:val="00A16398"/>
    <w:rsid w:val="00A20EBA"/>
    <w:rsid w:val="00A20F2F"/>
    <w:rsid w:val="00A211A3"/>
    <w:rsid w:val="00A2357E"/>
    <w:rsid w:val="00A24629"/>
    <w:rsid w:val="00A25A27"/>
    <w:rsid w:val="00A25CD6"/>
    <w:rsid w:val="00A27485"/>
    <w:rsid w:val="00A30038"/>
    <w:rsid w:val="00A309E8"/>
    <w:rsid w:val="00A32C8E"/>
    <w:rsid w:val="00A33DF7"/>
    <w:rsid w:val="00A3514D"/>
    <w:rsid w:val="00A35A07"/>
    <w:rsid w:val="00A40BA9"/>
    <w:rsid w:val="00A40F98"/>
    <w:rsid w:val="00A41EF2"/>
    <w:rsid w:val="00A42619"/>
    <w:rsid w:val="00A4267D"/>
    <w:rsid w:val="00A427B2"/>
    <w:rsid w:val="00A43DEB"/>
    <w:rsid w:val="00A44B78"/>
    <w:rsid w:val="00A44DDA"/>
    <w:rsid w:val="00A47D62"/>
    <w:rsid w:val="00A53CDD"/>
    <w:rsid w:val="00A53EE6"/>
    <w:rsid w:val="00A5538A"/>
    <w:rsid w:val="00A564AE"/>
    <w:rsid w:val="00A57A4A"/>
    <w:rsid w:val="00A57C0E"/>
    <w:rsid w:val="00A614EB"/>
    <w:rsid w:val="00A62886"/>
    <w:rsid w:val="00A63E79"/>
    <w:rsid w:val="00A6719E"/>
    <w:rsid w:val="00A672B2"/>
    <w:rsid w:val="00A74C51"/>
    <w:rsid w:val="00A75C5E"/>
    <w:rsid w:val="00A77682"/>
    <w:rsid w:val="00A80C19"/>
    <w:rsid w:val="00A83279"/>
    <w:rsid w:val="00A83750"/>
    <w:rsid w:val="00A84631"/>
    <w:rsid w:val="00A86498"/>
    <w:rsid w:val="00A86A0A"/>
    <w:rsid w:val="00A9067C"/>
    <w:rsid w:val="00A90A24"/>
    <w:rsid w:val="00A90BD3"/>
    <w:rsid w:val="00A91402"/>
    <w:rsid w:val="00A92FBB"/>
    <w:rsid w:val="00A93C1C"/>
    <w:rsid w:val="00A96790"/>
    <w:rsid w:val="00A97543"/>
    <w:rsid w:val="00AA0DFE"/>
    <w:rsid w:val="00AA2502"/>
    <w:rsid w:val="00AA262E"/>
    <w:rsid w:val="00AA2AC5"/>
    <w:rsid w:val="00AA3174"/>
    <w:rsid w:val="00AA3A41"/>
    <w:rsid w:val="00AA5AE9"/>
    <w:rsid w:val="00AA6D45"/>
    <w:rsid w:val="00AA7585"/>
    <w:rsid w:val="00AA7DED"/>
    <w:rsid w:val="00AB031D"/>
    <w:rsid w:val="00AB08A6"/>
    <w:rsid w:val="00AB18B3"/>
    <w:rsid w:val="00AB1A1E"/>
    <w:rsid w:val="00AB236C"/>
    <w:rsid w:val="00AC06B6"/>
    <w:rsid w:val="00AC0EA6"/>
    <w:rsid w:val="00AC7830"/>
    <w:rsid w:val="00AD0DF9"/>
    <w:rsid w:val="00AD1557"/>
    <w:rsid w:val="00AD35F3"/>
    <w:rsid w:val="00AD44E9"/>
    <w:rsid w:val="00AD4CAC"/>
    <w:rsid w:val="00AD528F"/>
    <w:rsid w:val="00AD6760"/>
    <w:rsid w:val="00AD6EB3"/>
    <w:rsid w:val="00AD741D"/>
    <w:rsid w:val="00AD751D"/>
    <w:rsid w:val="00AD791C"/>
    <w:rsid w:val="00AE1C60"/>
    <w:rsid w:val="00AE4DB8"/>
    <w:rsid w:val="00AE4F42"/>
    <w:rsid w:val="00AE728D"/>
    <w:rsid w:val="00AE7589"/>
    <w:rsid w:val="00AF2833"/>
    <w:rsid w:val="00AF3716"/>
    <w:rsid w:val="00AF3C46"/>
    <w:rsid w:val="00AF43E1"/>
    <w:rsid w:val="00AF4D71"/>
    <w:rsid w:val="00AF5921"/>
    <w:rsid w:val="00B0092E"/>
    <w:rsid w:val="00B018B2"/>
    <w:rsid w:val="00B018E8"/>
    <w:rsid w:val="00B03BF6"/>
    <w:rsid w:val="00B03CDF"/>
    <w:rsid w:val="00B040B7"/>
    <w:rsid w:val="00B04A55"/>
    <w:rsid w:val="00B04D46"/>
    <w:rsid w:val="00B104C5"/>
    <w:rsid w:val="00B10F47"/>
    <w:rsid w:val="00B1385B"/>
    <w:rsid w:val="00B13B1B"/>
    <w:rsid w:val="00B15DBF"/>
    <w:rsid w:val="00B165C9"/>
    <w:rsid w:val="00B16F6C"/>
    <w:rsid w:val="00B17D70"/>
    <w:rsid w:val="00B22AD7"/>
    <w:rsid w:val="00B22D31"/>
    <w:rsid w:val="00B22E46"/>
    <w:rsid w:val="00B27853"/>
    <w:rsid w:val="00B30291"/>
    <w:rsid w:val="00B306F7"/>
    <w:rsid w:val="00B30BB8"/>
    <w:rsid w:val="00B30FE2"/>
    <w:rsid w:val="00B3272E"/>
    <w:rsid w:val="00B32C71"/>
    <w:rsid w:val="00B330C4"/>
    <w:rsid w:val="00B37580"/>
    <w:rsid w:val="00B4137A"/>
    <w:rsid w:val="00B50B77"/>
    <w:rsid w:val="00B51290"/>
    <w:rsid w:val="00B52215"/>
    <w:rsid w:val="00B530CA"/>
    <w:rsid w:val="00B53AC4"/>
    <w:rsid w:val="00B54527"/>
    <w:rsid w:val="00B57ADA"/>
    <w:rsid w:val="00B61EE9"/>
    <w:rsid w:val="00B6496C"/>
    <w:rsid w:val="00B65962"/>
    <w:rsid w:val="00B66B6C"/>
    <w:rsid w:val="00B7033E"/>
    <w:rsid w:val="00B7071A"/>
    <w:rsid w:val="00B71858"/>
    <w:rsid w:val="00B71A39"/>
    <w:rsid w:val="00B721DC"/>
    <w:rsid w:val="00B74715"/>
    <w:rsid w:val="00B7669D"/>
    <w:rsid w:val="00B766D9"/>
    <w:rsid w:val="00B76D60"/>
    <w:rsid w:val="00B80A28"/>
    <w:rsid w:val="00B82D73"/>
    <w:rsid w:val="00B84A2C"/>
    <w:rsid w:val="00B871D6"/>
    <w:rsid w:val="00B87A02"/>
    <w:rsid w:val="00B96204"/>
    <w:rsid w:val="00BA0DCC"/>
    <w:rsid w:val="00BA12A2"/>
    <w:rsid w:val="00BA16EF"/>
    <w:rsid w:val="00BA18D0"/>
    <w:rsid w:val="00BA242E"/>
    <w:rsid w:val="00BA2ABF"/>
    <w:rsid w:val="00BA3317"/>
    <w:rsid w:val="00BA5A9D"/>
    <w:rsid w:val="00BA6363"/>
    <w:rsid w:val="00BA7BC4"/>
    <w:rsid w:val="00BB2D9C"/>
    <w:rsid w:val="00BB3512"/>
    <w:rsid w:val="00BB5D1E"/>
    <w:rsid w:val="00BB62CC"/>
    <w:rsid w:val="00BB7ED6"/>
    <w:rsid w:val="00BC137A"/>
    <w:rsid w:val="00BC4347"/>
    <w:rsid w:val="00BC45E0"/>
    <w:rsid w:val="00BC54B5"/>
    <w:rsid w:val="00BC5D9D"/>
    <w:rsid w:val="00BC60E1"/>
    <w:rsid w:val="00BC6803"/>
    <w:rsid w:val="00BC7BCB"/>
    <w:rsid w:val="00BD109B"/>
    <w:rsid w:val="00BD1101"/>
    <w:rsid w:val="00BD2944"/>
    <w:rsid w:val="00BD2B5E"/>
    <w:rsid w:val="00BD3AFF"/>
    <w:rsid w:val="00BD4E7A"/>
    <w:rsid w:val="00BD531B"/>
    <w:rsid w:val="00BE00E5"/>
    <w:rsid w:val="00BE2E5A"/>
    <w:rsid w:val="00BE3A10"/>
    <w:rsid w:val="00BE4A21"/>
    <w:rsid w:val="00BE5859"/>
    <w:rsid w:val="00BE5DB1"/>
    <w:rsid w:val="00BE717E"/>
    <w:rsid w:val="00BE7E27"/>
    <w:rsid w:val="00BF183C"/>
    <w:rsid w:val="00BF4C15"/>
    <w:rsid w:val="00C044CF"/>
    <w:rsid w:val="00C0782F"/>
    <w:rsid w:val="00C11F50"/>
    <w:rsid w:val="00C12603"/>
    <w:rsid w:val="00C12C7C"/>
    <w:rsid w:val="00C131FD"/>
    <w:rsid w:val="00C15322"/>
    <w:rsid w:val="00C16DA8"/>
    <w:rsid w:val="00C17352"/>
    <w:rsid w:val="00C21959"/>
    <w:rsid w:val="00C2772A"/>
    <w:rsid w:val="00C30A7D"/>
    <w:rsid w:val="00C31169"/>
    <w:rsid w:val="00C3169F"/>
    <w:rsid w:val="00C318F6"/>
    <w:rsid w:val="00C37522"/>
    <w:rsid w:val="00C42EFD"/>
    <w:rsid w:val="00C43D8B"/>
    <w:rsid w:val="00C44042"/>
    <w:rsid w:val="00C46AF0"/>
    <w:rsid w:val="00C52956"/>
    <w:rsid w:val="00C53AE1"/>
    <w:rsid w:val="00C53CAD"/>
    <w:rsid w:val="00C54893"/>
    <w:rsid w:val="00C560A1"/>
    <w:rsid w:val="00C56E9E"/>
    <w:rsid w:val="00C56EB6"/>
    <w:rsid w:val="00C571E2"/>
    <w:rsid w:val="00C63FC8"/>
    <w:rsid w:val="00C64F57"/>
    <w:rsid w:val="00C65D21"/>
    <w:rsid w:val="00C66E11"/>
    <w:rsid w:val="00C6789D"/>
    <w:rsid w:val="00C71A97"/>
    <w:rsid w:val="00C72FFE"/>
    <w:rsid w:val="00C73FFD"/>
    <w:rsid w:val="00C74512"/>
    <w:rsid w:val="00C75071"/>
    <w:rsid w:val="00C77EB0"/>
    <w:rsid w:val="00C812E3"/>
    <w:rsid w:val="00C84F07"/>
    <w:rsid w:val="00C851A6"/>
    <w:rsid w:val="00C855D4"/>
    <w:rsid w:val="00C87639"/>
    <w:rsid w:val="00C90685"/>
    <w:rsid w:val="00C9099A"/>
    <w:rsid w:val="00C9240A"/>
    <w:rsid w:val="00C92F0F"/>
    <w:rsid w:val="00C93D5B"/>
    <w:rsid w:val="00C9442C"/>
    <w:rsid w:val="00C9532C"/>
    <w:rsid w:val="00C95790"/>
    <w:rsid w:val="00C95BCF"/>
    <w:rsid w:val="00C95D16"/>
    <w:rsid w:val="00C95DCF"/>
    <w:rsid w:val="00CA184E"/>
    <w:rsid w:val="00CA23C4"/>
    <w:rsid w:val="00CA575F"/>
    <w:rsid w:val="00CA5AEC"/>
    <w:rsid w:val="00CA6114"/>
    <w:rsid w:val="00CA704A"/>
    <w:rsid w:val="00CB0797"/>
    <w:rsid w:val="00CB21FF"/>
    <w:rsid w:val="00CB5CAE"/>
    <w:rsid w:val="00CB644C"/>
    <w:rsid w:val="00CB78ED"/>
    <w:rsid w:val="00CC0004"/>
    <w:rsid w:val="00CC4E55"/>
    <w:rsid w:val="00CC550E"/>
    <w:rsid w:val="00CC5AC6"/>
    <w:rsid w:val="00CD0DCE"/>
    <w:rsid w:val="00CD1628"/>
    <w:rsid w:val="00CD1D27"/>
    <w:rsid w:val="00CD27B7"/>
    <w:rsid w:val="00CD3807"/>
    <w:rsid w:val="00CD3AE7"/>
    <w:rsid w:val="00CD3C10"/>
    <w:rsid w:val="00CD5194"/>
    <w:rsid w:val="00CD5981"/>
    <w:rsid w:val="00CD79FA"/>
    <w:rsid w:val="00CE10E6"/>
    <w:rsid w:val="00CE59A8"/>
    <w:rsid w:val="00CE657B"/>
    <w:rsid w:val="00CF0873"/>
    <w:rsid w:val="00CF237E"/>
    <w:rsid w:val="00CF3FB0"/>
    <w:rsid w:val="00CF4210"/>
    <w:rsid w:val="00CF515D"/>
    <w:rsid w:val="00CF53F5"/>
    <w:rsid w:val="00CF6B3F"/>
    <w:rsid w:val="00D002B4"/>
    <w:rsid w:val="00D03845"/>
    <w:rsid w:val="00D03DCB"/>
    <w:rsid w:val="00D05257"/>
    <w:rsid w:val="00D054DF"/>
    <w:rsid w:val="00D057A5"/>
    <w:rsid w:val="00D05D1F"/>
    <w:rsid w:val="00D144D0"/>
    <w:rsid w:val="00D14FC0"/>
    <w:rsid w:val="00D163A3"/>
    <w:rsid w:val="00D1656D"/>
    <w:rsid w:val="00D167CC"/>
    <w:rsid w:val="00D16943"/>
    <w:rsid w:val="00D17746"/>
    <w:rsid w:val="00D211AE"/>
    <w:rsid w:val="00D21662"/>
    <w:rsid w:val="00D23DE4"/>
    <w:rsid w:val="00D23F50"/>
    <w:rsid w:val="00D24867"/>
    <w:rsid w:val="00D318E3"/>
    <w:rsid w:val="00D323A7"/>
    <w:rsid w:val="00D346BF"/>
    <w:rsid w:val="00D34A4B"/>
    <w:rsid w:val="00D416EB"/>
    <w:rsid w:val="00D41B20"/>
    <w:rsid w:val="00D43AC1"/>
    <w:rsid w:val="00D44615"/>
    <w:rsid w:val="00D45321"/>
    <w:rsid w:val="00D50324"/>
    <w:rsid w:val="00D55A28"/>
    <w:rsid w:val="00D5605F"/>
    <w:rsid w:val="00D61FBD"/>
    <w:rsid w:val="00D62519"/>
    <w:rsid w:val="00D625AA"/>
    <w:rsid w:val="00D627D0"/>
    <w:rsid w:val="00D6353D"/>
    <w:rsid w:val="00D63CBD"/>
    <w:rsid w:val="00D6500C"/>
    <w:rsid w:val="00D66392"/>
    <w:rsid w:val="00D66959"/>
    <w:rsid w:val="00D70A39"/>
    <w:rsid w:val="00D71A7E"/>
    <w:rsid w:val="00D7643D"/>
    <w:rsid w:val="00D76DE0"/>
    <w:rsid w:val="00D80DF0"/>
    <w:rsid w:val="00D83ED5"/>
    <w:rsid w:val="00D86043"/>
    <w:rsid w:val="00D870D4"/>
    <w:rsid w:val="00D903E0"/>
    <w:rsid w:val="00D9398E"/>
    <w:rsid w:val="00D9464E"/>
    <w:rsid w:val="00D954E0"/>
    <w:rsid w:val="00D97059"/>
    <w:rsid w:val="00D97A1D"/>
    <w:rsid w:val="00DA0181"/>
    <w:rsid w:val="00DA2411"/>
    <w:rsid w:val="00DA2C81"/>
    <w:rsid w:val="00DA65C4"/>
    <w:rsid w:val="00DA7899"/>
    <w:rsid w:val="00DB0923"/>
    <w:rsid w:val="00DB29CA"/>
    <w:rsid w:val="00DB30C8"/>
    <w:rsid w:val="00DB558E"/>
    <w:rsid w:val="00DB5F2B"/>
    <w:rsid w:val="00DB74AF"/>
    <w:rsid w:val="00DC1AB8"/>
    <w:rsid w:val="00DC46BE"/>
    <w:rsid w:val="00DC5C19"/>
    <w:rsid w:val="00DC7068"/>
    <w:rsid w:val="00DD0411"/>
    <w:rsid w:val="00DD265A"/>
    <w:rsid w:val="00DD6B9B"/>
    <w:rsid w:val="00DE07A1"/>
    <w:rsid w:val="00DE21A2"/>
    <w:rsid w:val="00DE2776"/>
    <w:rsid w:val="00DE3B11"/>
    <w:rsid w:val="00DE7183"/>
    <w:rsid w:val="00DF1DAC"/>
    <w:rsid w:val="00DF2165"/>
    <w:rsid w:val="00DF5A24"/>
    <w:rsid w:val="00DF60E6"/>
    <w:rsid w:val="00DF6105"/>
    <w:rsid w:val="00DF659E"/>
    <w:rsid w:val="00E01524"/>
    <w:rsid w:val="00E0320F"/>
    <w:rsid w:val="00E07C16"/>
    <w:rsid w:val="00E1021D"/>
    <w:rsid w:val="00E1428E"/>
    <w:rsid w:val="00E14900"/>
    <w:rsid w:val="00E15903"/>
    <w:rsid w:val="00E218D3"/>
    <w:rsid w:val="00E22321"/>
    <w:rsid w:val="00E229ED"/>
    <w:rsid w:val="00E23091"/>
    <w:rsid w:val="00E23E21"/>
    <w:rsid w:val="00E245A0"/>
    <w:rsid w:val="00E25964"/>
    <w:rsid w:val="00E25E9F"/>
    <w:rsid w:val="00E27565"/>
    <w:rsid w:val="00E30DE6"/>
    <w:rsid w:val="00E31944"/>
    <w:rsid w:val="00E32395"/>
    <w:rsid w:val="00E32E0D"/>
    <w:rsid w:val="00E332E3"/>
    <w:rsid w:val="00E34DBA"/>
    <w:rsid w:val="00E35435"/>
    <w:rsid w:val="00E37194"/>
    <w:rsid w:val="00E3788B"/>
    <w:rsid w:val="00E40C6A"/>
    <w:rsid w:val="00E410B7"/>
    <w:rsid w:val="00E43977"/>
    <w:rsid w:val="00E4415D"/>
    <w:rsid w:val="00E44AB8"/>
    <w:rsid w:val="00E47BD8"/>
    <w:rsid w:val="00E50D3F"/>
    <w:rsid w:val="00E520BE"/>
    <w:rsid w:val="00E53413"/>
    <w:rsid w:val="00E5484A"/>
    <w:rsid w:val="00E54E17"/>
    <w:rsid w:val="00E56A7A"/>
    <w:rsid w:val="00E60419"/>
    <w:rsid w:val="00E60E01"/>
    <w:rsid w:val="00E617D3"/>
    <w:rsid w:val="00E61E36"/>
    <w:rsid w:val="00E633C1"/>
    <w:rsid w:val="00E667B0"/>
    <w:rsid w:val="00E67390"/>
    <w:rsid w:val="00E71365"/>
    <w:rsid w:val="00E74904"/>
    <w:rsid w:val="00E7695E"/>
    <w:rsid w:val="00E770A4"/>
    <w:rsid w:val="00E8097A"/>
    <w:rsid w:val="00E81192"/>
    <w:rsid w:val="00E83B51"/>
    <w:rsid w:val="00E8626C"/>
    <w:rsid w:val="00E8663B"/>
    <w:rsid w:val="00E86BDE"/>
    <w:rsid w:val="00E8762F"/>
    <w:rsid w:val="00E90171"/>
    <w:rsid w:val="00E90AB8"/>
    <w:rsid w:val="00E919D9"/>
    <w:rsid w:val="00E921C1"/>
    <w:rsid w:val="00E93C8B"/>
    <w:rsid w:val="00E93D8F"/>
    <w:rsid w:val="00E9531E"/>
    <w:rsid w:val="00E95E41"/>
    <w:rsid w:val="00E95E4C"/>
    <w:rsid w:val="00E977CE"/>
    <w:rsid w:val="00E97E05"/>
    <w:rsid w:val="00EA34E2"/>
    <w:rsid w:val="00EA52D1"/>
    <w:rsid w:val="00EA703E"/>
    <w:rsid w:val="00EA791F"/>
    <w:rsid w:val="00EB0FE3"/>
    <w:rsid w:val="00EB671F"/>
    <w:rsid w:val="00EB70E7"/>
    <w:rsid w:val="00EB76D6"/>
    <w:rsid w:val="00EC02E8"/>
    <w:rsid w:val="00EC1139"/>
    <w:rsid w:val="00EC3842"/>
    <w:rsid w:val="00EC4299"/>
    <w:rsid w:val="00EC4D4D"/>
    <w:rsid w:val="00EC5D5D"/>
    <w:rsid w:val="00EC7908"/>
    <w:rsid w:val="00EC7C2B"/>
    <w:rsid w:val="00ED1F02"/>
    <w:rsid w:val="00ED213D"/>
    <w:rsid w:val="00EE15B5"/>
    <w:rsid w:val="00EE2087"/>
    <w:rsid w:val="00EE20A1"/>
    <w:rsid w:val="00EE6670"/>
    <w:rsid w:val="00EE74AF"/>
    <w:rsid w:val="00EF1F0E"/>
    <w:rsid w:val="00EF29F6"/>
    <w:rsid w:val="00EF4FBF"/>
    <w:rsid w:val="00EF518E"/>
    <w:rsid w:val="00EF5DF0"/>
    <w:rsid w:val="00EF69AE"/>
    <w:rsid w:val="00EF6E2C"/>
    <w:rsid w:val="00EF7106"/>
    <w:rsid w:val="00F001A6"/>
    <w:rsid w:val="00F00253"/>
    <w:rsid w:val="00F0070A"/>
    <w:rsid w:val="00F010B6"/>
    <w:rsid w:val="00F01660"/>
    <w:rsid w:val="00F01C16"/>
    <w:rsid w:val="00F0782D"/>
    <w:rsid w:val="00F10B74"/>
    <w:rsid w:val="00F11EB3"/>
    <w:rsid w:val="00F13F39"/>
    <w:rsid w:val="00F14B9B"/>
    <w:rsid w:val="00F14CCC"/>
    <w:rsid w:val="00F17988"/>
    <w:rsid w:val="00F20C09"/>
    <w:rsid w:val="00F217DF"/>
    <w:rsid w:val="00F21CAE"/>
    <w:rsid w:val="00F22AE0"/>
    <w:rsid w:val="00F2601A"/>
    <w:rsid w:val="00F26701"/>
    <w:rsid w:val="00F310D7"/>
    <w:rsid w:val="00F368B9"/>
    <w:rsid w:val="00F3739F"/>
    <w:rsid w:val="00F374C1"/>
    <w:rsid w:val="00F37B34"/>
    <w:rsid w:val="00F41C34"/>
    <w:rsid w:val="00F4212F"/>
    <w:rsid w:val="00F4338F"/>
    <w:rsid w:val="00F447DB"/>
    <w:rsid w:val="00F447FA"/>
    <w:rsid w:val="00F469B9"/>
    <w:rsid w:val="00F46C32"/>
    <w:rsid w:val="00F46ECB"/>
    <w:rsid w:val="00F50F94"/>
    <w:rsid w:val="00F525B5"/>
    <w:rsid w:val="00F53D53"/>
    <w:rsid w:val="00F53FE1"/>
    <w:rsid w:val="00F543B9"/>
    <w:rsid w:val="00F56177"/>
    <w:rsid w:val="00F56187"/>
    <w:rsid w:val="00F575D3"/>
    <w:rsid w:val="00F5786C"/>
    <w:rsid w:val="00F62117"/>
    <w:rsid w:val="00F62365"/>
    <w:rsid w:val="00F630A7"/>
    <w:rsid w:val="00F66225"/>
    <w:rsid w:val="00F662BC"/>
    <w:rsid w:val="00F6708D"/>
    <w:rsid w:val="00F707F0"/>
    <w:rsid w:val="00F71AD5"/>
    <w:rsid w:val="00F729ED"/>
    <w:rsid w:val="00F733B8"/>
    <w:rsid w:val="00F74F50"/>
    <w:rsid w:val="00F75192"/>
    <w:rsid w:val="00F77822"/>
    <w:rsid w:val="00F838B6"/>
    <w:rsid w:val="00F83B0D"/>
    <w:rsid w:val="00F83C31"/>
    <w:rsid w:val="00F85F05"/>
    <w:rsid w:val="00F86AD1"/>
    <w:rsid w:val="00F9222A"/>
    <w:rsid w:val="00F922EA"/>
    <w:rsid w:val="00F92927"/>
    <w:rsid w:val="00F949E0"/>
    <w:rsid w:val="00F94F0F"/>
    <w:rsid w:val="00F979B3"/>
    <w:rsid w:val="00F97CCD"/>
    <w:rsid w:val="00FA0E44"/>
    <w:rsid w:val="00FA320D"/>
    <w:rsid w:val="00FA362B"/>
    <w:rsid w:val="00FA502C"/>
    <w:rsid w:val="00FA53E9"/>
    <w:rsid w:val="00FA60EC"/>
    <w:rsid w:val="00FB04E9"/>
    <w:rsid w:val="00FB1179"/>
    <w:rsid w:val="00FB1C6B"/>
    <w:rsid w:val="00FB3361"/>
    <w:rsid w:val="00FB42B4"/>
    <w:rsid w:val="00FB4841"/>
    <w:rsid w:val="00FB6C94"/>
    <w:rsid w:val="00FB7F8B"/>
    <w:rsid w:val="00FC0D8C"/>
    <w:rsid w:val="00FC22F5"/>
    <w:rsid w:val="00FC3753"/>
    <w:rsid w:val="00FC5170"/>
    <w:rsid w:val="00FC5743"/>
    <w:rsid w:val="00FC59B4"/>
    <w:rsid w:val="00FC5C2B"/>
    <w:rsid w:val="00FC6240"/>
    <w:rsid w:val="00FD118C"/>
    <w:rsid w:val="00FD332F"/>
    <w:rsid w:val="00FD5AB6"/>
    <w:rsid w:val="00FD7395"/>
    <w:rsid w:val="00FE1CC1"/>
    <w:rsid w:val="00FE385E"/>
    <w:rsid w:val="00FE3CE2"/>
    <w:rsid w:val="00FE54AD"/>
    <w:rsid w:val="00FE5633"/>
    <w:rsid w:val="00FE6F7A"/>
    <w:rsid w:val="00FE7B14"/>
    <w:rsid w:val="00FF02D5"/>
    <w:rsid w:val="00FF0846"/>
    <w:rsid w:val="00FF248B"/>
    <w:rsid w:val="00FF3E6F"/>
    <w:rsid w:val="00FF5A63"/>
    <w:rsid w:val="00FF6DB4"/>
    <w:rsid w:val="00FF7425"/>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9249"/>
    <o:shapelayout v:ext="edit">
      <o:idmap v:ext="edit" data="1"/>
    </o:shapelayout>
  </w:shapeDefaults>
  <w:decimalSymbol w:val=","/>
  <w:listSeparator w:val=";"/>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styleId="Meno">
    <w:name w:val="Mention"/>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styleId="MenoPendente">
    <w:name w:val="Unresolved Mention"/>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207424877">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74823010">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multimidia/2018/6/pdf/00328660.pdf" TargetMode="External"/><Relationship Id="rId13" Type="http://schemas.openxmlformats.org/officeDocument/2006/relationships/hyperlink" Target="http://www1.tce.pr.gov.br/multimidia/2018/6/pdf/00328835.pdf" TargetMode="External"/><Relationship Id="rId18" Type="http://schemas.openxmlformats.org/officeDocument/2006/relationships/hyperlink" Target="https://contas.tcu.gov.br/sagas/SvlVisualizarRelVotoAcRtf?codFiltro=SAGAS-SESSAO-ENCERRADA&amp;seOcultaPagina=S&amp;item0=620434" TargetMode="External"/><Relationship Id="rId26" Type="http://schemas.openxmlformats.org/officeDocument/2006/relationships/hyperlink" Target="http://www.planalto.gov.br/ccivil_03/_ato2015-2018/2015/lei/l13105.htm" TargetMode="External"/><Relationship Id="rId3" Type="http://schemas.openxmlformats.org/officeDocument/2006/relationships/styles" Target="styles.xml"/><Relationship Id="rId21" Type="http://schemas.openxmlformats.org/officeDocument/2006/relationships/hyperlink" Target="https://www.planalto.gov.br/ccivil_03/leis/lcp/lcp141.htm" TargetMode="External"/><Relationship Id="rId34" Type="http://schemas.openxmlformats.org/officeDocument/2006/relationships/hyperlink" Target="http://www1.tce.pr.gov.br/conteudo/sumulas-selecionadas/316602/area/249" TargetMode="External"/><Relationship Id="rId7" Type="http://schemas.openxmlformats.org/officeDocument/2006/relationships/endnotes" Target="endnotes.xml"/><Relationship Id="rId12" Type="http://schemas.openxmlformats.org/officeDocument/2006/relationships/hyperlink" Target="http://www1.tce.pr.gov.br/multimidia/2018/6/pdf/00328739.pdf" TargetMode="External"/><Relationship Id="rId17" Type="http://schemas.openxmlformats.org/officeDocument/2006/relationships/hyperlink" Target="http://www1.tce.pr.gov.br/multimidia/2018/6/pdf/00328645.pdf" TargetMode="External"/><Relationship Id="rId25" Type="http://schemas.openxmlformats.org/officeDocument/2006/relationships/hyperlink" Target="https://contas.tcu.gov.br/sagas/SvlVisualizarRelVotoAcRtf?codFiltro=SAGAS-SESSAO-ENCERRADA&amp;seOcultaPagina=S&amp;item0=622791" TargetMode="External"/><Relationship Id="rId33" Type="http://schemas.openxmlformats.org/officeDocument/2006/relationships/hyperlink" Target="http://www1.tce.pr.gov.br/conteudo/repercussao-geral-no-stf-e-os-tribunais-de-contas/307026/area/249"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1.tce.pr.gov.br/multimidia/2018/6/pdf/00328830.pdf" TargetMode="External"/><Relationship Id="rId20" Type="http://schemas.openxmlformats.org/officeDocument/2006/relationships/hyperlink" Target="https://contas.tcu.gov.br/sagas/SvlVisualizarRelVotoAcRtf?codFiltro=SAGAS-SESSAO-ENCERRADA&amp;seOcultaPagina=S&amp;item0=616176" TargetMode="External"/><Relationship Id="rId29" Type="http://schemas.openxmlformats.org/officeDocument/2006/relationships/hyperlink" Target="https://contas.tcu.gov.br/sagas/SvlVisualizarRelVotoAcRtf?codFiltro=SAGAS-SESSAO-ENCERRADA&amp;seOcultaPagina=S&amp;item0=6230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multimidia/2018/6/pdf/00328596.pdf" TargetMode="External"/><Relationship Id="rId24" Type="http://schemas.openxmlformats.org/officeDocument/2006/relationships/hyperlink" Target="https://contas.tcu.gov.br/sagas/SvlVisualizarRelVotoAcRtf?codFiltro=SAGAS-SESSAO-ENCERRADA&amp;seOcultaPagina=S&amp;item0=622262" TargetMode="External"/><Relationship Id="rId32" Type="http://schemas.openxmlformats.org/officeDocument/2006/relationships/hyperlink" Target="http://www1.tce.pr.gov.br/conteudo/boletim-de-jurisprudencia-internacional/316601/area/249"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1.tce.pr.gov.br/multimidia/2018/6/pdf/00328963.pdf" TargetMode="External"/><Relationship Id="rId23" Type="http://schemas.openxmlformats.org/officeDocument/2006/relationships/hyperlink" Target="https://contas.tcu.gov.br/sagas/SvlVisualizarRelVotoAcRtf?codFiltro=SAGAS-SESSAO-ENCERRADA&amp;seOcultaPagina=S&amp;item0=622262" TargetMode="External"/><Relationship Id="rId28" Type="http://schemas.openxmlformats.org/officeDocument/2006/relationships/hyperlink" Target="https://www.planalto.gov.br/ccivil_03/leis/l8666cons.htm" TargetMode="External"/><Relationship Id="rId36" Type="http://schemas.openxmlformats.org/officeDocument/2006/relationships/footer" Target="footer1.xml"/><Relationship Id="rId10" Type="http://schemas.openxmlformats.org/officeDocument/2006/relationships/hyperlink" Target="http://www1.tce.pr.gov.br/multimidia/2018/6/pdf/00328560.pdf" TargetMode="External"/><Relationship Id="rId19" Type="http://schemas.openxmlformats.org/officeDocument/2006/relationships/hyperlink" Target="https://contas.tcu.gov.br/sagas/SvlVisualizarRelVotoAcRtf?codFiltro=SAGAS-SESSAO-ENCERRADA&amp;seOcultaPagina=S&amp;item0=622252" TargetMode="External"/><Relationship Id="rId31" Type="http://schemas.openxmlformats.org/officeDocument/2006/relationships/hyperlink" Target="http://www1.tce.pr.gov.br/conteudo/teses-ambientais/316603/area/249" TargetMode="External"/><Relationship Id="rId4" Type="http://schemas.openxmlformats.org/officeDocument/2006/relationships/settings" Target="settings.xml"/><Relationship Id="rId9" Type="http://schemas.openxmlformats.org/officeDocument/2006/relationships/hyperlink" Target="http://www1.tce.pr.gov.br/multimidia/2018/6/pdf/00328561.pdf" TargetMode="External"/><Relationship Id="rId14" Type="http://schemas.openxmlformats.org/officeDocument/2006/relationships/hyperlink" Target="http://www1.tce.pr.gov.br/multimidia/2018/6/pdf/00328836.pdf" TargetMode="External"/><Relationship Id="rId22" Type="http://schemas.openxmlformats.org/officeDocument/2006/relationships/hyperlink" Target="https://contas.tcu.gov.br/sagas/SvlVisualizarRelVotoAcRtf?codFiltro=SAGAS-SESSAO-ENCERRADA&amp;seOcultaPagina=S&amp;item0=621958" TargetMode="External"/><Relationship Id="rId27" Type="http://schemas.openxmlformats.org/officeDocument/2006/relationships/hyperlink" Target="https://contas.tcu.gov.br/sagas/SvlVisualizarRelVotoAcRtf?codFiltro=SAGAS-SESSAO-ENCERRADA&amp;seOcultaPagina=S&amp;item0=623000" TargetMode="External"/><Relationship Id="rId30" Type="http://schemas.openxmlformats.org/officeDocument/2006/relationships/hyperlink" Target="http://www1.tce.pr.gov.br/conteudo/pesquisas-prontas/308475/area/249" TargetMode="External"/><Relationship Id="rId35"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97A6A4-1200-4C9F-90DB-84D50972E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3376</Words>
  <Characters>18231</Characters>
  <Application>Microsoft Office Word</Application>
  <DocSecurity>0</DocSecurity>
  <Lines>151</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Andre Isidio Martins</cp:lastModifiedBy>
  <cp:revision>2</cp:revision>
  <cp:lastPrinted>2017-07-10T20:46:00Z</cp:lastPrinted>
  <dcterms:created xsi:type="dcterms:W3CDTF">2018-07-24T13:28:00Z</dcterms:created>
  <dcterms:modified xsi:type="dcterms:W3CDTF">2018-07-24T13:28:00Z</dcterms:modified>
</cp:coreProperties>
</file>